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C99170">
      <w:pPr>
        <w:pStyle w:val="7"/>
        <w:spacing w:line="296" w:lineRule="auto"/>
      </w:pPr>
    </w:p>
    <w:p w14:paraId="22DC96DA">
      <w:pPr>
        <w:pStyle w:val="7"/>
        <w:spacing w:line="296" w:lineRule="auto"/>
      </w:pPr>
    </w:p>
    <w:p w14:paraId="10B1ECED">
      <w:pPr>
        <w:pStyle w:val="7"/>
        <w:spacing w:line="296" w:lineRule="auto"/>
      </w:pPr>
    </w:p>
    <w:p w14:paraId="52C0668E">
      <w:pPr>
        <w:pStyle w:val="7"/>
        <w:spacing w:line="296" w:lineRule="auto"/>
      </w:pPr>
    </w:p>
    <w:p w14:paraId="4ED7B609">
      <w:pPr>
        <w:spacing w:before="309" w:line="224" w:lineRule="auto"/>
        <w:ind w:left="440" w:hanging="442" w:hangingChars="100"/>
        <w:jc w:val="center"/>
        <w:outlineLvl w:val="0"/>
        <w:rPr>
          <w:rFonts w:hint="default" w:ascii="Times New Roman" w:hAnsi="Times New Roman" w:eastAsia="方正小标宋_GBK" w:cs="Times New Roman"/>
          <w:b/>
          <w:bCs/>
          <w:sz w:val="44"/>
          <w:szCs w:val="44"/>
          <w:lang w:val="en-US" w:eastAsia="zh-CN"/>
        </w:rPr>
      </w:pPr>
      <w:r>
        <w:rPr>
          <w:rFonts w:hint="default" w:ascii="Times New Roman" w:hAnsi="Times New Roman" w:eastAsia="方正小标宋_GBK" w:cs="Times New Roman"/>
          <w:b/>
          <w:bCs/>
          <w:sz w:val="44"/>
          <w:szCs w:val="44"/>
          <w:lang w:val="en-US" w:eastAsia="zh-CN"/>
        </w:rPr>
        <w:t>信阳市生态环境局机动车“天地车</w:t>
      </w:r>
      <w:bookmarkStart w:id="0" w:name="_GoBack"/>
      <w:bookmarkEnd w:id="0"/>
      <w:r>
        <w:rPr>
          <w:rFonts w:hint="default" w:ascii="Times New Roman" w:hAnsi="Times New Roman" w:eastAsia="方正小标宋_GBK" w:cs="Times New Roman"/>
          <w:b/>
          <w:bCs/>
          <w:sz w:val="44"/>
          <w:szCs w:val="44"/>
          <w:lang w:val="en-US" w:eastAsia="zh-CN"/>
        </w:rPr>
        <w:t>人”一体化平台运维项目</w:t>
      </w:r>
    </w:p>
    <w:p w14:paraId="0A080A40">
      <w:pPr>
        <w:spacing w:before="309" w:line="224" w:lineRule="auto"/>
        <w:jc w:val="center"/>
        <w:outlineLvl w:val="0"/>
        <w:rPr>
          <w:rFonts w:ascii="黑体" w:hAnsi="黑体" w:eastAsia="黑体" w:cs="黑体"/>
          <w:sz w:val="83"/>
          <w:szCs w:val="83"/>
          <w:lang w:eastAsia="zh-CN"/>
        </w:rPr>
      </w:pPr>
      <w:r>
        <w:rPr>
          <w:rFonts w:ascii="黑体" w:hAnsi="黑体" w:eastAsia="黑体" w:cs="黑体"/>
          <w:spacing w:val="-9"/>
          <w:sz w:val="83"/>
          <w:szCs w:val="83"/>
          <w:lang w:eastAsia="zh-CN"/>
        </w:rPr>
        <w:t>比选文件</w:t>
      </w:r>
    </w:p>
    <w:p w14:paraId="307565FE">
      <w:pPr>
        <w:pStyle w:val="7"/>
        <w:spacing w:line="241" w:lineRule="auto"/>
        <w:rPr>
          <w:lang w:eastAsia="zh-CN"/>
        </w:rPr>
      </w:pPr>
    </w:p>
    <w:p w14:paraId="3B4C5524">
      <w:pPr>
        <w:pStyle w:val="7"/>
        <w:spacing w:line="241" w:lineRule="auto"/>
        <w:rPr>
          <w:lang w:eastAsia="zh-CN"/>
        </w:rPr>
      </w:pPr>
    </w:p>
    <w:p w14:paraId="04F1A6E9">
      <w:pPr>
        <w:pStyle w:val="7"/>
        <w:spacing w:line="241" w:lineRule="auto"/>
        <w:rPr>
          <w:lang w:eastAsia="zh-CN"/>
        </w:rPr>
      </w:pPr>
    </w:p>
    <w:p w14:paraId="1E562721">
      <w:pPr>
        <w:pStyle w:val="7"/>
        <w:spacing w:line="241" w:lineRule="auto"/>
        <w:rPr>
          <w:lang w:eastAsia="zh-CN"/>
        </w:rPr>
      </w:pPr>
    </w:p>
    <w:p w14:paraId="24C688EE">
      <w:pPr>
        <w:pStyle w:val="7"/>
        <w:spacing w:line="241" w:lineRule="auto"/>
        <w:rPr>
          <w:lang w:eastAsia="zh-CN"/>
        </w:rPr>
      </w:pPr>
    </w:p>
    <w:p w14:paraId="455BFDD4">
      <w:pPr>
        <w:pStyle w:val="7"/>
        <w:spacing w:line="241" w:lineRule="auto"/>
        <w:rPr>
          <w:lang w:eastAsia="zh-CN"/>
        </w:rPr>
      </w:pPr>
    </w:p>
    <w:p w14:paraId="431F53D6">
      <w:pPr>
        <w:pStyle w:val="7"/>
        <w:spacing w:line="241" w:lineRule="auto"/>
        <w:rPr>
          <w:lang w:eastAsia="zh-CN"/>
        </w:rPr>
      </w:pPr>
    </w:p>
    <w:p w14:paraId="675A1802">
      <w:pPr>
        <w:pStyle w:val="7"/>
        <w:spacing w:line="241" w:lineRule="auto"/>
        <w:rPr>
          <w:lang w:eastAsia="zh-CN"/>
        </w:rPr>
      </w:pPr>
    </w:p>
    <w:p w14:paraId="3FEC87EF">
      <w:pPr>
        <w:pStyle w:val="7"/>
        <w:spacing w:line="241" w:lineRule="auto"/>
        <w:rPr>
          <w:lang w:eastAsia="zh-CN"/>
        </w:rPr>
      </w:pPr>
    </w:p>
    <w:p w14:paraId="24FBFF1B">
      <w:pPr>
        <w:pStyle w:val="7"/>
        <w:spacing w:line="241" w:lineRule="auto"/>
        <w:rPr>
          <w:lang w:eastAsia="zh-CN"/>
        </w:rPr>
      </w:pPr>
    </w:p>
    <w:p w14:paraId="6AAD4F28">
      <w:pPr>
        <w:pStyle w:val="7"/>
        <w:spacing w:line="241" w:lineRule="auto"/>
        <w:rPr>
          <w:lang w:eastAsia="zh-CN"/>
        </w:rPr>
      </w:pPr>
    </w:p>
    <w:p w14:paraId="07B86F87">
      <w:pPr>
        <w:pStyle w:val="7"/>
        <w:spacing w:line="241" w:lineRule="auto"/>
        <w:rPr>
          <w:lang w:eastAsia="zh-CN"/>
        </w:rPr>
      </w:pPr>
    </w:p>
    <w:p w14:paraId="18E7E03E">
      <w:pPr>
        <w:pStyle w:val="7"/>
        <w:spacing w:line="241" w:lineRule="auto"/>
        <w:rPr>
          <w:lang w:eastAsia="zh-CN"/>
        </w:rPr>
      </w:pPr>
    </w:p>
    <w:p w14:paraId="3DADD6B8">
      <w:pPr>
        <w:pStyle w:val="7"/>
        <w:spacing w:line="241" w:lineRule="auto"/>
        <w:rPr>
          <w:lang w:eastAsia="zh-CN"/>
        </w:rPr>
      </w:pPr>
    </w:p>
    <w:p w14:paraId="6EF54084">
      <w:pPr>
        <w:pStyle w:val="7"/>
        <w:spacing w:line="241" w:lineRule="auto"/>
        <w:rPr>
          <w:lang w:eastAsia="zh-CN"/>
        </w:rPr>
      </w:pPr>
    </w:p>
    <w:p w14:paraId="5EAFA50A">
      <w:pPr>
        <w:pStyle w:val="7"/>
        <w:spacing w:line="241" w:lineRule="auto"/>
        <w:rPr>
          <w:lang w:eastAsia="zh-CN"/>
        </w:rPr>
      </w:pPr>
    </w:p>
    <w:p w14:paraId="41786CED">
      <w:pPr>
        <w:pStyle w:val="7"/>
        <w:spacing w:line="241" w:lineRule="auto"/>
        <w:rPr>
          <w:lang w:eastAsia="zh-CN"/>
        </w:rPr>
      </w:pPr>
    </w:p>
    <w:p w14:paraId="5134E002">
      <w:pPr>
        <w:pStyle w:val="7"/>
        <w:spacing w:line="241" w:lineRule="auto"/>
        <w:rPr>
          <w:lang w:eastAsia="zh-CN"/>
        </w:rPr>
      </w:pPr>
    </w:p>
    <w:p w14:paraId="42DCC6D3">
      <w:pPr>
        <w:pStyle w:val="7"/>
        <w:spacing w:line="241" w:lineRule="auto"/>
        <w:rPr>
          <w:lang w:eastAsia="zh-CN"/>
        </w:rPr>
      </w:pPr>
    </w:p>
    <w:p w14:paraId="29FBA5BA">
      <w:pPr>
        <w:pStyle w:val="7"/>
        <w:spacing w:line="241" w:lineRule="auto"/>
        <w:rPr>
          <w:lang w:eastAsia="zh-CN"/>
        </w:rPr>
      </w:pPr>
    </w:p>
    <w:p w14:paraId="01EB3DBF">
      <w:pPr>
        <w:pStyle w:val="7"/>
        <w:spacing w:line="241" w:lineRule="auto"/>
        <w:rPr>
          <w:lang w:eastAsia="zh-CN"/>
        </w:rPr>
      </w:pPr>
    </w:p>
    <w:p w14:paraId="4CC4DDEF">
      <w:pPr>
        <w:pStyle w:val="7"/>
        <w:spacing w:line="241" w:lineRule="auto"/>
        <w:rPr>
          <w:lang w:eastAsia="zh-CN"/>
        </w:rPr>
      </w:pPr>
    </w:p>
    <w:p w14:paraId="647B944E">
      <w:pPr>
        <w:pStyle w:val="7"/>
        <w:spacing w:line="241" w:lineRule="auto"/>
        <w:rPr>
          <w:lang w:eastAsia="zh-CN"/>
        </w:rPr>
      </w:pPr>
    </w:p>
    <w:p w14:paraId="47F9F2EF">
      <w:pPr>
        <w:pStyle w:val="7"/>
        <w:spacing w:line="241" w:lineRule="auto"/>
        <w:rPr>
          <w:lang w:eastAsia="zh-CN"/>
        </w:rPr>
      </w:pPr>
    </w:p>
    <w:p w14:paraId="603E5738">
      <w:pPr>
        <w:pStyle w:val="7"/>
        <w:spacing w:line="241" w:lineRule="auto"/>
        <w:rPr>
          <w:lang w:eastAsia="zh-CN"/>
        </w:rPr>
      </w:pPr>
    </w:p>
    <w:p w14:paraId="7BAA64DD">
      <w:pPr>
        <w:pStyle w:val="7"/>
        <w:spacing w:line="241" w:lineRule="auto"/>
        <w:rPr>
          <w:lang w:eastAsia="zh-CN"/>
        </w:rPr>
      </w:pPr>
    </w:p>
    <w:p w14:paraId="10718D3B">
      <w:pPr>
        <w:pStyle w:val="7"/>
        <w:spacing w:line="241" w:lineRule="auto"/>
        <w:rPr>
          <w:lang w:eastAsia="zh-CN"/>
        </w:rPr>
      </w:pPr>
    </w:p>
    <w:p w14:paraId="0E05A497">
      <w:pPr>
        <w:pStyle w:val="7"/>
        <w:spacing w:line="242" w:lineRule="auto"/>
        <w:rPr>
          <w:lang w:eastAsia="zh-CN"/>
        </w:rPr>
      </w:pPr>
    </w:p>
    <w:p w14:paraId="400EF445">
      <w:pPr>
        <w:pStyle w:val="7"/>
        <w:spacing w:line="242" w:lineRule="auto"/>
        <w:rPr>
          <w:lang w:eastAsia="zh-CN"/>
        </w:rPr>
      </w:pPr>
    </w:p>
    <w:p w14:paraId="2E4F1F4C">
      <w:pPr>
        <w:pStyle w:val="7"/>
        <w:spacing w:line="242" w:lineRule="auto"/>
        <w:rPr>
          <w:lang w:eastAsia="zh-CN"/>
        </w:rPr>
      </w:pPr>
    </w:p>
    <w:p w14:paraId="1E167FC9">
      <w:pPr>
        <w:pStyle w:val="7"/>
        <w:spacing w:line="242" w:lineRule="auto"/>
        <w:rPr>
          <w:lang w:eastAsia="zh-CN"/>
        </w:rPr>
      </w:pPr>
    </w:p>
    <w:p w14:paraId="03091BA6">
      <w:pPr>
        <w:spacing w:before="114" w:line="227" w:lineRule="auto"/>
        <w:jc w:val="center"/>
        <w:rPr>
          <w:rFonts w:ascii="黑体" w:hAnsi="黑体" w:eastAsia="黑体" w:cs="黑体"/>
          <w:sz w:val="35"/>
          <w:szCs w:val="35"/>
          <w:lang w:eastAsia="zh-CN"/>
        </w:rPr>
      </w:pPr>
      <w:r>
        <w:rPr>
          <w:rFonts w:ascii="黑体" w:hAnsi="黑体" w:eastAsia="黑体" w:cs="黑体"/>
          <w:spacing w:val="8"/>
          <w:sz w:val="35"/>
          <w:szCs w:val="35"/>
          <w:lang w:eastAsia="zh-CN"/>
        </w:rPr>
        <w:t>信阳市生态环境局</w:t>
      </w:r>
    </w:p>
    <w:p w14:paraId="43B45683">
      <w:pPr>
        <w:pStyle w:val="7"/>
        <w:spacing w:line="321" w:lineRule="auto"/>
        <w:rPr>
          <w:lang w:eastAsia="zh-CN"/>
        </w:rPr>
      </w:pPr>
    </w:p>
    <w:p w14:paraId="08594C4C">
      <w:pPr>
        <w:spacing w:before="113" w:line="228" w:lineRule="auto"/>
        <w:jc w:val="center"/>
        <w:rPr>
          <w:rFonts w:ascii="黑体" w:hAnsi="黑体" w:eastAsia="黑体" w:cs="黑体"/>
          <w:sz w:val="35"/>
          <w:szCs w:val="35"/>
          <w:lang w:eastAsia="zh-CN"/>
        </w:rPr>
      </w:pPr>
      <w:r>
        <w:rPr>
          <w:rFonts w:ascii="黑体" w:hAnsi="黑体" w:eastAsia="黑体" w:cs="黑体"/>
          <w:spacing w:val="2"/>
          <w:sz w:val="35"/>
          <w:szCs w:val="35"/>
          <w:lang w:eastAsia="zh-CN"/>
        </w:rPr>
        <w:t>二</w:t>
      </w:r>
      <w:r>
        <w:rPr>
          <w:rFonts w:ascii="黑体" w:hAnsi="黑体" w:eastAsia="黑体" w:cs="黑体"/>
          <w:spacing w:val="-74"/>
          <w:sz w:val="35"/>
          <w:szCs w:val="35"/>
          <w:lang w:eastAsia="zh-CN"/>
        </w:rPr>
        <w:t xml:space="preserve"> </w:t>
      </w:r>
      <w:r>
        <w:rPr>
          <w:rFonts w:ascii="黑体" w:hAnsi="黑体" w:eastAsia="黑体" w:cs="黑体"/>
          <w:spacing w:val="2"/>
          <w:sz w:val="35"/>
          <w:szCs w:val="35"/>
          <w:lang w:eastAsia="zh-CN"/>
        </w:rPr>
        <w:t>O</w:t>
      </w:r>
      <w:r>
        <w:rPr>
          <w:rFonts w:ascii="黑体" w:hAnsi="黑体" w:eastAsia="黑体" w:cs="黑体"/>
          <w:spacing w:val="-66"/>
          <w:sz w:val="35"/>
          <w:szCs w:val="35"/>
          <w:lang w:eastAsia="zh-CN"/>
        </w:rPr>
        <w:t xml:space="preserve"> </w:t>
      </w:r>
      <w:r>
        <w:rPr>
          <w:rFonts w:ascii="黑体" w:hAnsi="黑体" w:eastAsia="黑体" w:cs="黑体"/>
          <w:spacing w:val="2"/>
          <w:sz w:val="35"/>
          <w:szCs w:val="35"/>
          <w:lang w:eastAsia="zh-CN"/>
        </w:rPr>
        <w:t>二</w:t>
      </w:r>
      <w:r>
        <w:rPr>
          <w:rFonts w:hint="eastAsia" w:ascii="黑体" w:hAnsi="黑体" w:eastAsia="黑体" w:cs="黑体"/>
          <w:spacing w:val="2"/>
          <w:sz w:val="35"/>
          <w:szCs w:val="35"/>
          <w:lang w:val="en-US" w:eastAsia="zh-CN"/>
        </w:rPr>
        <w:t>五</w:t>
      </w:r>
      <w:r>
        <w:rPr>
          <w:rFonts w:ascii="黑体" w:hAnsi="黑体" w:eastAsia="黑体" w:cs="黑体"/>
          <w:spacing w:val="2"/>
          <w:sz w:val="35"/>
          <w:szCs w:val="35"/>
          <w:lang w:eastAsia="zh-CN"/>
        </w:rPr>
        <w:t>年</w:t>
      </w:r>
      <w:r>
        <w:rPr>
          <w:rFonts w:hint="eastAsia" w:ascii="黑体" w:hAnsi="黑体" w:eastAsia="黑体" w:cs="黑体"/>
          <w:spacing w:val="2"/>
          <w:sz w:val="35"/>
          <w:szCs w:val="35"/>
          <w:lang w:eastAsia="zh-CN"/>
        </w:rPr>
        <w:t>五</w:t>
      </w:r>
      <w:r>
        <w:rPr>
          <w:rFonts w:ascii="黑体" w:hAnsi="黑体" w:eastAsia="黑体" w:cs="黑体"/>
          <w:spacing w:val="2"/>
          <w:sz w:val="35"/>
          <w:szCs w:val="35"/>
          <w:lang w:eastAsia="zh-CN"/>
        </w:rPr>
        <w:t>月</w:t>
      </w:r>
    </w:p>
    <w:p w14:paraId="2A0B42DD">
      <w:pPr>
        <w:spacing w:line="228" w:lineRule="auto"/>
        <w:rPr>
          <w:rFonts w:ascii="黑体" w:hAnsi="黑体" w:eastAsia="黑体" w:cs="黑体"/>
          <w:sz w:val="35"/>
          <w:szCs w:val="35"/>
          <w:lang w:eastAsia="zh-CN"/>
        </w:rPr>
        <w:sectPr>
          <w:pgSz w:w="11906" w:h="16839"/>
          <w:pgMar w:top="1440" w:right="1800" w:bottom="1440" w:left="1800" w:header="0" w:footer="0" w:gutter="0"/>
          <w:pgNumType w:fmt="decimal"/>
          <w:cols w:space="720" w:num="1"/>
        </w:sectPr>
      </w:pPr>
    </w:p>
    <w:p w14:paraId="4AE2D159">
      <w:pPr>
        <w:spacing w:before="150" w:line="171" w:lineRule="auto"/>
        <w:ind w:left="4108"/>
        <w:rPr>
          <w:rFonts w:ascii="微软雅黑" w:hAnsi="微软雅黑" w:eastAsia="微软雅黑" w:cs="微软雅黑"/>
          <w:sz w:val="35"/>
          <w:szCs w:val="35"/>
          <w:lang w:eastAsia="zh-CN"/>
        </w:rPr>
      </w:pPr>
      <w:r>
        <w:rPr>
          <w:rFonts w:ascii="微软雅黑" w:hAnsi="微软雅黑" w:eastAsia="微软雅黑" w:cs="微软雅黑"/>
          <w:spacing w:val="-28"/>
          <w:sz w:val="35"/>
          <w:szCs w:val="35"/>
          <w:lang w:eastAsia="zh-CN"/>
        </w:rPr>
        <w:t>目录</w:t>
      </w:r>
    </w:p>
    <w:p w14:paraId="37D40BF8">
      <w:pPr>
        <w:pStyle w:val="7"/>
        <w:spacing w:line="342" w:lineRule="auto"/>
        <w:rPr>
          <w:lang w:eastAsia="zh-CN"/>
        </w:rPr>
      </w:pPr>
    </w:p>
    <w:p w14:paraId="11339CF8">
      <w:pPr>
        <w:pStyle w:val="7"/>
        <w:spacing w:line="342" w:lineRule="auto"/>
        <w:rPr>
          <w:lang w:eastAsia="zh-CN"/>
        </w:rPr>
      </w:pPr>
    </w:p>
    <w:p w14:paraId="25E70D98">
      <w:pPr>
        <w:spacing w:before="101" w:line="600" w:lineRule="exact"/>
        <w:rPr>
          <w:rFonts w:ascii="仿宋" w:hAnsi="仿宋" w:eastAsia="仿宋" w:cs="仿宋"/>
          <w:sz w:val="31"/>
          <w:szCs w:val="31"/>
          <w:lang w:eastAsia="zh-CN"/>
        </w:rPr>
      </w:pPr>
      <w:r>
        <w:rPr>
          <w:rFonts w:ascii="仿宋" w:hAnsi="仿宋" w:eastAsia="仿宋" w:cs="仿宋"/>
          <w:position w:val="21"/>
          <w:sz w:val="31"/>
          <w:szCs w:val="31"/>
          <w:lang w:eastAsia="zh-CN"/>
        </w:rPr>
        <w:t>第一章</w:t>
      </w:r>
      <w:r>
        <w:rPr>
          <w:rFonts w:ascii="仿宋" w:hAnsi="仿宋" w:eastAsia="仿宋" w:cs="仿宋"/>
          <w:spacing w:val="65"/>
          <w:position w:val="21"/>
          <w:sz w:val="31"/>
          <w:szCs w:val="31"/>
          <w:lang w:eastAsia="zh-CN"/>
        </w:rPr>
        <w:t xml:space="preserve"> </w:t>
      </w:r>
      <w:r>
        <w:rPr>
          <w:rFonts w:ascii="仿宋" w:hAnsi="仿宋" w:eastAsia="仿宋" w:cs="仿宋"/>
          <w:position w:val="21"/>
          <w:sz w:val="31"/>
          <w:szCs w:val="31"/>
          <w:lang w:eastAsia="zh-CN"/>
        </w:rPr>
        <w:t>比选招标公告</w:t>
      </w:r>
    </w:p>
    <w:p w14:paraId="14313018">
      <w:pPr>
        <w:spacing w:line="222" w:lineRule="auto"/>
        <w:rPr>
          <w:rFonts w:ascii="仿宋" w:hAnsi="仿宋" w:eastAsia="仿宋" w:cs="仿宋"/>
          <w:sz w:val="31"/>
          <w:szCs w:val="31"/>
          <w:lang w:eastAsia="zh-CN"/>
        </w:rPr>
      </w:pPr>
      <w:r>
        <w:rPr>
          <w:rFonts w:ascii="仿宋" w:hAnsi="仿宋" w:eastAsia="仿宋" w:cs="仿宋"/>
          <w:spacing w:val="6"/>
          <w:sz w:val="31"/>
          <w:szCs w:val="31"/>
          <w:lang w:eastAsia="zh-CN"/>
        </w:rPr>
        <w:t>第二章 投标人须知</w:t>
      </w:r>
    </w:p>
    <w:p w14:paraId="7D38C7A1">
      <w:pPr>
        <w:spacing w:before="227" w:line="222" w:lineRule="auto"/>
        <w:rPr>
          <w:rFonts w:ascii="仿宋" w:hAnsi="仿宋" w:eastAsia="仿宋" w:cs="仿宋"/>
          <w:sz w:val="31"/>
          <w:szCs w:val="31"/>
          <w:lang w:eastAsia="zh-CN"/>
        </w:rPr>
      </w:pPr>
      <w:r>
        <w:rPr>
          <w:rFonts w:ascii="仿宋" w:hAnsi="仿宋" w:eastAsia="仿宋" w:cs="仿宋"/>
          <w:spacing w:val="5"/>
          <w:sz w:val="31"/>
          <w:szCs w:val="31"/>
          <w:lang w:eastAsia="zh-CN"/>
        </w:rPr>
        <w:t>第三章 技术要求</w:t>
      </w:r>
    </w:p>
    <w:p w14:paraId="2A228044">
      <w:pPr>
        <w:spacing w:before="226" w:line="600" w:lineRule="exact"/>
        <w:rPr>
          <w:rFonts w:ascii="仿宋" w:hAnsi="仿宋" w:eastAsia="仿宋" w:cs="仿宋"/>
          <w:sz w:val="31"/>
          <w:szCs w:val="31"/>
          <w:lang w:eastAsia="zh-CN"/>
        </w:rPr>
      </w:pPr>
      <w:r>
        <w:rPr>
          <w:rFonts w:ascii="仿宋" w:hAnsi="仿宋" w:eastAsia="仿宋" w:cs="仿宋"/>
          <w:spacing w:val="7"/>
          <w:position w:val="21"/>
          <w:sz w:val="31"/>
          <w:szCs w:val="31"/>
          <w:lang w:eastAsia="zh-CN"/>
        </w:rPr>
        <w:t>第四章 评审程序、方法及标准</w:t>
      </w:r>
    </w:p>
    <w:p w14:paraId="56F9AF94">
      <w:pPr>
        <w:spacing w:line="222" w:lineRule="auto"/>
        <w:rPr>
          <w:rFonts w:ascii="仿宋" w:hAnsi="仿宋" w:eastAsia="仿宋" w:cs="仿宋"/>
          <w:sz w:val="31"/>
          <w:szCs w:val="31"/>
          <w:lang w:eastAsia="zh-CN"/>
        </w:rPr>
      </w:pPr>
      <w:r>
        <w:rPr>
          <w:rFonts w:ascii="仿宋" w:hAnsi="仿宋" w:eastAsia="仿宋" w:cs="仿宋"/>
          <w:spacing w:val="-4"/>
          <w:sz w:val="31"/>
          <w:szCs w:val="31"/>
          <w:lang w:eastAsia="zh-CN"/>
        </w:rPr>
        <w:t>第五章</w:t>
      </w:r>
      <w:r>
        <w:rPr>
          <w:rFonts w:ascii="仿宋" w:hAnsi="仿宋" w:eastAsia="仿宋" w:cs="仿宋"/>
          <w:spacing w:val="44"/>
          <w:sz w:val="31"/>
          <w:szCs w:val="31"/>
          <w:lang w:eastAsia="zh-CN"/>
        </w:rPr>
        <w:t xml:space="preserve"> </w:t>
      </w:r>
      <w:r>
        <w:rPr>
          <w:rFonts w:ascii="仿宋" w:hAnsi="仿宋" w:eastAsia="仿宋" w:cs="仿宋"/>
          <w:spacing w:val="-4"/>
          <w:sz w:val="31"/>
          <w:szCs w:val="31"/>
          <w:lang w:eastAsia="zh-CN"/>
        </w:rPr>
        <w:t>附件</w:t>
      </w:r>
    </w:p>
    <w:p w14:paraId="0A39365A">
      <w:pPr>
        <w:spacing w:line="222" w:lineRule="auto"/>
        <w:rPr>
          <w:rFonts w:ascii="仿宋" w:hAnsi="仿宋" w:eastAsia="仿宋" w:cs="仿宋"/>
          <w:sz w:val="31"/>
          <w:szCs w:val="31"/>
          <w:lang w:eastAsia="zh-CN"/>
        </w:rPr>
        <w:sectPr>
          <w:pgSz w:w="11906" w:h="16839"/>
          <w:pgMar w:top="1440" w:right="1800" w:bottom="1440" w:left="1800" w:header="0" w:footer="0" w:gutter="0"/>
          <w:pgNumType w:fmt="decimal"/>
          <w:cols w:space="720" w:num="1"/>
        </w:sectPr>
      </w:pPr>
    </w:p>
    <w:p w14:paraId="5934A93C">
      <w:pPr>
        <w:pStyle w:val="7"/>
        <w:spacing w:line="270" w:lineRule="auto"/>
        <w:jc w:val="center"/>
        <w:rPr>
          <w:rFonts w:hint="default" w:ascii="黑体" w:hAnsi="黑体" w:eastAsia="黑体" w:cs="黑体"/>
          <w:sz w:val="32"/>
          <w:szCs w:val="32"/>
          <w:lang w:val="en-US" w:eastAsia="zh-CN"/>
        </w:rPr>
      </w:pPr>
      <w:r>
        <w:rPr>
          <w:rFonts w:hint="eastAsia" w:ascii="黑体" w:hAnsi="黑体" w:eastAsia="黑体" w:cs="黑体"/>
          <w:sz w:val="32"/>
          <w:szCs w:val="32"/>
          <w:lang w:eastAsia="zh-CN"/>
        </w:rPr>
        <w:t xml:space="preserve">第一章  </w:t>
      </w:r>
      <w:r>
        <w:rPr>
          <w:rFonts w:hint="default" w:ascii="黑体" w:hAnsi="黑体" w:eastAsia="黑体" w:cs="黑体"/>
          <w:sz w:val="32"/>
          <w:szCs w:val="32"/>
          <w:lang w:val="en-US" w:eastAsia="zh-CN"/>
        </w:rPr>
        <w:t>信阳市生态环境局机动车“天地车人”一体化</w:t>
      </w:r>
    </w:p>
    <w:p w14:paraId="33D90488">
      <w:pPr>
        <w:pStyle w:val="7"/>
        <w:spacing w:line="270" w:lineRule="auto"/>
        <w:jc w:val="center"/>
        <w:rPr>
          <w:rFonts w:hint="default" w:ascii="黑体" w:hAnsi="黑体" w:eastAsia="黑体" w:cs="黑体"/>
          <w:sz w:val="32"/>
          <w:szCs w:val="32"/>
          <w:lang w:val="en-US" w:eastAsia="zh-CN"/>
        </w:rPr>
      </w:pPr>
      <w:r>
        <w:rPr>
          <w:rFonts w:hint="default" w:ascii="黑体" w:hAnsi="黑体" w:eastAsia="黑体" w:cs="黑体"/>
          <w:sz w:val="32"/>
          <w:szCs w:val="32"/>
          <w:lang w:val="en-US" w:eastAsia="zh-CN"/>
        </w:rPr>
        <w:t>平台运维项目</w:t>
      </w:r>
    </w:p>
    <w:p w14:paraId="07B34964">
      <w:pPr>
        <w:pStyle w:val="7"/>
        <w:spacing w:line="270" w:lineRule="auto"/>
        <w:jc w:val="center"/>
        <w:rPr>
          <w:rFonts w:ascii="黑体" w:hAnsi="黑体" w:eastAsia="黑体" w:cs="黑体"/>
          <w:sz w:val="32"/>
          <w:szCs w:val="32"/>
          <w:lang w:eastAsia="zh-CN"/>
        </w:rPr>
      </w:pPr>
      <w:r>
        <w:rPr>
          <w:rFonts w:hint="eastAsia" w:ascii="黑体" w:hAnsi="黑体" w:eastAsia="黑体" w:cs="黑体"/>
          <w:sz w:val="32"/>
          <w:szCs w:val="32"/>
          <w:lang w:eastAsia="zh-CN"/>
        </w:rPr>
        <w:t>比选招标公告</w:t>
      </w:r>
    </w:p>
    <w:p w14:paraId="43DA7DB8">
      <w:pPr>
        <w:pStyle w:val="7"/>
        <w:spacing w:line="270" w:lineRule="auto"/>
        <w:rPr>
          <w:lang w:eastAsia="zh-CN"/>
        </w:rPr>
      </w:pPr>
    </w:p>
    <w:p w14:paraId="2FE78278">
      <w:pPr>
        <w:pStyle w:val="7"/>
        <w:spacing w:line="270" w:lineRule="auto"/>
        <w:rPr>
          <w:lang w:eastAsia="zh-CN"/>
        </w:rPr>
      </w:pPr>
    </w:p>
    <w:p w14:paraId="47D5D686">
      <w:pPr>
        <w:pStyle w:val="7"/>
        <w:spacing w:line="270" w:lineRule="auto"/>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一、项目概况</w:t>
      </w:r>
    </w:p>
    <w:p w14:paraId="763E460C">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1、采购人：信阳市生态环境局</w:t>
      </w:r>
    </w:p>
    <w:p w14:paraId="577FFA2C">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2、项目名称：</w:t>
      </w:r>
      <w:r>
        <w:rPr>
          <w:rFonts w:hint="default" w:ascii="仿宋_GB2312" w:hAnsi="仿宋_GB2312" w:eastAsia="仿宋_GB2312" w:cs="仿宋_GB2312"/>
          <w:sz w:val="32"/>
          <w:szCs w:val="32"/>
          <w:lang w:val="en-US" w:eastAsia="zh-CN"/>
        </w:rPr>
        <w:t>信阳市生态环境局机动车“天地车人”一体化平台运维项目</w:t>
      </w:r>
    </w:p>
    <w:p w14:paraId="607BCA3B">
      <w:pPr>
        <w:pStyle w:val="7"/>
        <w:spacing w:line="560" w:lineRule="exac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3、采购内容：</w:t>
      </w:r>
      <w:r>
        <w:rPr>
          <w:rFonts w:hint="default" w:ascii="仿宋_GB2312" w:hAnsi="仿宋_GB2312" w:eastAsia="仿宋_GB2312" w:cs="仿宋_GB2312"/>
          <w:sz w:val="32"/>
          <w:szCs w:val="32"/>
          <w:lang w:val="en-US" w:eastAsia="zh-CN"/>
        </w:rPr>
        <w:t>按照相关业务需要和服务保障要求，对信阳市移动源天地车人一体化平台的网站、手机APP、与业务系统对接（省厅各类移动源系统、企业门禁系统、柴油车OBD远程在线监控系统等）进行日常维护，保障平台现有各项功能运行稳定，服务期内计划外服务中断时间不超过4小时。</w:t>
      </w:r>
    </w:p>
    <w:p w14:paraId="71C4DD8D">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4、资金来源：财政资金，采购预算：人民币</w:t>
      </w:r>
      <w:r>
        <w:rPr>
          <w:rFonts w:hint="eastAsia" w:ascii="仿宋_GB2312" w:hAnsi="仿宋_GB2312" w:eastAsia="仿宋_GB2312" w:cs="仿宋_GB2312"/>
          <w:sz w:val="32"/>
          <w:szCs w:val="32"/>
          <w:lang w:val="en-US" w:eastAsia="zh-CN"/>
        </w:rPr>
        <w:t>495</w:t>
      </w:r>
      <w:r>
        <w:rPr>
          <w:rFonts w:hint="eastAsia" w:ascii="仿宋_GB2312" w:hAnsi="仿宋_GB2312" w:eastAsia="仿宋_GB2312" w:cs="仿宋_GB2312"/>
          <w:sz w:val="32"/>
          <w:szCs w:val="32"/>
          <w:lang w:eastAsia="zh-CN"/>
        </w:rPr>
        <w:t>0</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lang w:eastAsia="zh-CN"/>
        </w:rPr>
        <w:t>0元</w:t>
      </w:r>
    </w:p>
    <w:p w14:paraId="43EADE6D">
      <w:pPr>
        <w:pStyle w:val="7"/>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5、服务时间：</w:t>
      </w: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sz w:val="32"/>
          <w:szCs w:val="32"/>
          <w:lang w:eastAsia="zh-CN"/>
        </w:rPr>
        <w:t>年</w:t>
      </w:r>
    </w:p>
    <w:p w14:paraId="51E0B82B">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6、付款方式：</w:t>
      </w:r>
      <w:r>
        <w:rPr>
          <w:rFonts w:hint="eastAsia" w:ascii="仿宋_GB2312" w:hAnsi="仿宋_GB2312" w:eastAsia="仿宋_GB2312" w:cs="仿宋_GB2312"/>
          <w:sz w:val="32"/>
          <w:szCs w:val="32"/>
          <w:lang w:val="en-US" w:eastAsia="zh-CN"/>
        </w:rPr>
        <w:t>合同签订完成后支付合同额30%，两年运维期满并通过考核后支付合同余下的70%合同款。</w:t>
      </w:r>
    </w:p>
    <w:p w14:paraId="03D61F52">
      <w:pPr>
        <w:pStyle w:val="7"/>
        <w:spacing w:line="270" w:lineRule="auto"/>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二、投标人资格要求</w:t>
      </w:r>
    </w:p>
    <w:p w14:paraId="50A23E38">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1、投标人应符合《中国政府采购网》第二十二条规定并提供相关证明材料:</w:t>
      </w:r>
    </w:p>
    <w:p w14:paraId="39210222">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（1）具有独立承担民事责任的能力，须提供有效的营业执照。</w:t>
      </w:r>
    </w:p>
    <w:p w14:paraId="5F7D8861">
      <w:pPr>
        <w:pStyle w:val="7"/>
        <w:spacing w:line="560" w:lineRule="exact"/>
        <w:ind w:firstLine="640" w:firstLineChars="200"/>
        <w:jc w:val="both"/>
        <w:rPr>
          <w:rFonts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（2）具有良好的商业信誉和健全的财务会计制度，须提供会计事务所出具的</w:t>
      </w:r>
      <w:r>
        <w:rPr>
          <w:rFonts w:hint="eastAsia" w:ascii="仿宋_GB2312" w:hAnsi="仿宋_GB2312" w:eastAsia="仿宋_GB2312" w:cs="仿宋_GB2312"/>
          <w:color w:val="FF0000"/>
          <w:sz w:val="32"/>
          <w:szCs w:val="32"/>
          <w:highlight w:val="none"/>
          <w:lang w:eastAsia="zh-CN"/>
        </w:rPr>
        <w:t>202</w:t>
      </w:r>
      <w:r>
        <w:rPr>
          <w:rFonts w:hint="eastAsia" w:ascii="仿宋_GB2312" w:hAnsi="仿宋_GB2312" w:eastAsia="仿宋_GB2312" w:cs="仿宋_GB2312"/>
          <w:color w:val="FF0000"/>
          <w:sz w:val="32"/>
          <w:szCs w:val="32"/>
          <w:highlight w:val="none"/>
          <w:lang w:val="en-US" w:eastAsia="zh-CN"/>
        </w:rPr>
        <w:t>4</w:t>
      </w:r>
      <w:r>
        <w:rPr>
          <w:rFonts w:hint="eastAsia" w:ascii="仿宋_GB2312" w:hAnsi="仿宋_GB2312" w:eastAsia="仿宋_GB2312" w:cs="仿宋_GB2312"/>
          <w:color w:val="FF0000"/>
          <w:sz w:val="32"/>
          <w:szCs w:val="32"/>
          <w:highlight w:val="none"/>
          <w:lang w:eastAsia="zh-CN"/>
        </w:rPr>
        <w:t>年度</w:t>
      </w:r>
      <w:r>
        <w:rPr>
          <w:rFonts w:hint="eastAsia" w:ascii="仿宋_GB2312" w:hAnsi="仿宋_GB2312" w:eastAsia="仿宋_GB2312" w:cs="仿宋_GB2312"/>
          <w:sz w:val="32"/>
          <w:szCs w:val="32"/>
          <w:highlight w:val="none"/>
          <w:lang w:eastAsia="zh-CN"/>
        </w:rPr>
        <w:t>财务审计报告（公司成立时间不足一年的需提供资信证明）。</w:t>
      </w:r>
    </w:p>
    <w:p w14:paraId="3864371D">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（3）有依法缴纳税收和社会保障资金的良好记录，须提供单位</w:t>
      </w:r>
      <w:r>
        <w:rPr>
          <w:rFonts w:hint="eastAsia" w:ascii="仿宋_GB2312" w:hAnsi="仿宋_GB2312" w:eastAsia="仿宋_GB2312" w:cs="仿宋_GB2312"/>
          <w:color w:val="FF0000"/>
          <w:sz w:val="32"/>
          <w:szCs w:val="32"/>
          <w:highlight w:val="none"/>
          <w:lang w:val="en-US" w:eastAsia="zh-CN"/>
        </w:rPr>
        <w:t>2024年</w:t>
      </w:r>
      <w:r>
        <w:rPr>
          <w:rFonts w:hint="eastAsia" w:ascii="仿宋_GB2312" w:hAnsi="仿宋_GB2312" w:eastAsia="仿宋_GB2312" w:cs="仿宋_GB2312"/>
          <w:sz w:val="32"/>
          <w:szCs w:val="32"/>
          <w:lang w:eastAsia="zh-CN"/>
        </w:rPr>
        <w:t>依法缴纳税收和依法缴纳社会保险的凭据；依法免税或不需要缴纳社会保障资金的投标人，应提供相应证明文件。</w:t>
      </w:r>
    </w:p>
    <w:p w14:paraId="225C9F49">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（4）具备履行合同所必需的设备和专业技术能力，须提供投标人具有履行合同所必需的设备和专业技术能力承诺书。</w:t>
      </w:r>
    </w:p>
    <w:p w14:paraId="769F4383">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（5）参加政府采购活动近3年内在经营活动中没有重大违法记录，须提供参加政府采购活动近3年内，在经营活动中没有重大违法记录的书面声明。</w:t>
      </w:r>
    </w:p>
    <w:p w14:paraId="155D7954">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（6）具备法律、行政法规规定的其他条件。</w:t>
      </w:r>
    </w:p>
    <w:p w14:paraId="6794770C">
      <w:pPr>
        <w:pStyle w:val="7"/>
        <w:spacing w:line="56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w:t>
      </w:r>
      <w:r>
        <w:rPr>
          <w:rFonts w:hint="eastAsia" w:ascii="仿宋_GB2312" w:hAnsi="仿宋_GB2312" w:eastAsia="仿宋_GB2312" w:cs="仿宋_GB2312"/>
          <w:sz w:val="32"/>
          <w:szCs w:val="32"/>
        </w:rPr>
        <w:t>、投标人应通过“信用中国（www.creditchina.gov.cn）”查询“失信被执行人、重大税收违法案件当事人名单、政府采购严重违法失信行为记录名单”和“中国政府采购网（www.ccgp.gov.cn）查询“政府采购严重违法失信行为记录”进行信用查询，投标人需提供网页查询截图加盖单位公章。</w:t>
      </w:r>
    </w:p>
    <w:p w14:paraId="13E7A1F6">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3、投标人须提供法定代表人身份证明及法定代表人身份证或法定代表人签名并加盖单位公章的授权委托书及被授权人的身份证。</w:t>
      </w:r>
    </w:p>
    <w:p w14:paraId="6702341D">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4、投标人中标后不允许分包或转包。</w:t>
      </w:r>
    </w:p>
    <w:p w14:paraId="385732A6">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三、招标文件获取时间和方式</w:t>
      </w:r>
    </w:p>
    <w:p w14:paraId="1B1F0E48">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1、招标文件领取时间：</w:t>
      </w:r>
      <w:r>
        <w:rPr>
          <w:rFonts w:hint="eastAsia" w:ascii="仿宋_GB2312" w:hAnsi="仿宋_GB2312" w:eastAsia="仿宋_GB2312" w:cs="仿宋_GB2312"/>
          <w:sz w:val="32"/>
          <w:szCs w:val="32"/>
          <w:highlight w:val="yellow"/>
          <w:lang w:eastAsia="zh-CN"/>
        </w:rPr>
        <w:t>202</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年</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月</w:t>
      </w:r>
      <w:r>
        <w:rPr>
          <w:rFonts w:hint="eastAsia" w:ascii="仿宋_GB2312" w:hAnsi="仿宋_GB2312" w:eastAsia="仿宋_GB2312" w:cs="仿宋_GB2312"/>
          <w:sz w:val="32"/>
          <w:szCs w:val="32"/>
          <w:highlight w:val="yellow"/>
          <w:lang w:val="en-US" w:eastAsia="zh-CN"/>
        </w:rPr>
        <w:t>8</w:t>
      </w:r>
      <w:r>
        <w:rPr>
          <w:rFonts w:hint="eastAsia" w:ascii="仿宋_GB2312" w:hAnsi="仿宋_GB2312" w:eastAsia="仿宋_GB2312" w:cs="仿宋_GB2312"/>
          <w:sz w:val="32"/>
          <w:szCs w:val="32"/>
          <w:highlight w:val="yellow"/>
          <w:lang w:eastAsia="zh-CN"/>
        </w:rPr>
        <w:t>日</w:t>
      </w:r>
    </w:p>
    <w:p w14:paraId="7DC3975B">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2、招标文件领取地点:市生态环境局门户网站下载</w:t>
      </w:r>
    </w:p>
    <w:p w14:paraId="7AD79820">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3、招标文件费用：0元</w:t>
      </w:r>
    </w:p>
    <w:p w14:paraId="6FE645AA">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四、投标文件送达时间及地点</w:t>
      </w:r>
    </w:p>
    <w:p w14:paraId="60CC4A16">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1、报名截止时间：</w:t>
      </w:r>
      <w:r>
        <w:rPr>
          <w:rFonts w:hint="eastAsia" w:ascii="仿宋_GB2312" w:hAnsi="仿宋_GB2312" w:eastAsia="仿宋_GB2312" w:cs="仿宋_GB2312"/>
          <w:sz w:val="32"/>
          <w:szCs w:val="32"/>
          <w:highlight w:val="yellow"/>
          <w:lang w:eastAsia="zh-CN"/>
        </w:rPr>
        <w:t>202</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年</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月</w:t>
      </w:r>
      <w:r>
        <w:rPr>
          <w:rFonts w:hint="eastAsia" w:ascii="仿宋_GB2312" w:hAnsi="仿宋_GB2312" w:eastAsia="仿宋_GB2312" w:cs="仿宋_GB2312"/>
          <w:sz w:val="32"/>
          <w:szCs w:val="32"/>
          <w:highlight w:val="yellow"/>
          <w:lang w:val="en-US" w:eastAsia="zh-CN"/>
        </w:rPr>
        <w:t>14</w:t>
      </w:r>
      <w:r>
        <w:rPr>
          <w:rFonts w:hint="eastAsia" w:ascii="仿宋_GB2312" w:hAnsi="仿宋_GB2312" w:eastAsia="仿宋_GB2312" w:cs="仿宋_GB2312"/>
          <w:sz w:val="32"/>
          <w:szCs w:val="32"/>
          <w:highlight w:val="yellow"/>
          <w:lang w:eastAsia="zh-CN"/>
        </w:rPr>
        <w:t>日</w:t>
      </w:r>
      <w:r>
        <w:rPr>
          <w:rFonts w:hint="eastAsia" w:ascii="仿宋_GB2312" w:hAnsi="仿宋_GB2312" w:eastAsia="仿宋_GB2312" w:cs="仿宋_GB2312"/>
          <w:sz w:val="32"/>
          <w:szCs w:val="32"/>
          <w:highlight w:val="yellow"/>
          <w:lang w:val="en-US" w:eastAsia="zh-CN"/>
        </w:rPr>
        <w:t>16</w:t>
      </w:r>
      <w:r>
        <w:rPr>
          <w:rFonts w:hint="eastAsia" w:ascii="仿宋_GB2312" w:hAnsi="仿宋_GB2312" w:eastAsia="仿宋_GB2312" w:cs="仿宋_GB2312"/>
          <w:sz w:val="32"/>
          <w:szCs w:val="32"/>
          <w:highlight w:val="yellow"/>
          <w:lang w:eastAsia="zh-CN"/>
        </w:rPr>
        <w:t>时</w:t>
      </w:r>
      <w:r>
        <w:rPr>
          <w:rFonts w:hint="eastAsia" w:ascii="仿宋_GB2312" w:hAnsi="仿宋_GB2312" w:eastAsia="仿宋_GB2312" w:cs="仿宋_GB2312"/>
          <w:sz w:val="32"/>
          <w:szCs w:val="32"/>
          <w:highlight w:val="yellow"/>
          <w:lang w:val="en-US" w:eastAsia="zh-CN"/>
        </w:rPr>
        <w:t>00</w:t>
      </w:r>
      <w:r>
        <w:rPr>
          <w:rFonts w:hint="eastAsia" w:ascii="仿宋_GB2312" w:hAnsi="仿宋_GB2312" w:eastAsia="仿宋_GB2312" w:cs="仿宋_GB2312"/>
          <w:sz w:val="32"/>
          <w:szCs w:val="32"/>
          <w:highlight w:val="yellow"/>
          <w:lang w:eastAsia="zh-CN"/>
        </w:rPr>
        <w:t>分</w:t>
      </w:r>
      <w:r>
        <w:rPr>
          <w:rFonts w:hint="eastAsia" w:ascii="仿宋_GB2312" w:hAnsi="仿宋_GB2312" w:eastAsia="仿宋_GB2312" w:cs="仿宋_GB2312"/>
          <w:sz w:val="32"/>
          <w:szCs w:val="32"/>
          <w:lang w:eastAsia="zh-CN"/>
        </w:rPr>
        <w:t>（北京时间）。报名时需提供报名登记表（加盖单位公章）、营业执照（原件或复印件加盖单位公章），将以上资料电子扫描件一并发送至市生态环境局采购工作领导小组邮箱：xysthjzfcg</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163.com。</w:t>
      </w:r>
    </w:p>
    <w:p w14:paraId="30EF3151">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2、投标文件递交时间:</w:t>
      </w:r>
      <w:r>
        <w:rPr>
          <w:rFonts w:hint="eastAsia" w:ascii="仿宋_GB2312" w:hAnsi="仿宋_GB2312" w:eastAsia="仿宋_GB2312" w:cs="仿宋_GB2312"/>
          <w:sz w:val="32"/>
          <w:szCs w:val="32"/>
          <w:highlight w:val="yellow"/>
          <w:lang w:eastAsia="zh-CN"/>
        </w:rPr>
        <w:t>202</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年</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月</w:t>
      </w:r>
      <w:r>
        <w:rPr>
          <w:rFonts w:hint="eastAsia" w:ascii="仿宋_GB2312" w:hAnsi="仿宋_GB2312" w:eastAsia="仿宋_GB2312" w:cs="仿宋_GB2312"/>
          <w:sz w:val="32"/>
          <w:szCs w:val="32"/>
          <w:highlight w:val="yellow"/>
          <w:lang w:val="en-US" w:eastAsia="zh-CN"/>
        </w:rPr>
        <w:t>15</w:t>
      </w:r>
      <w:r>
        <w:rPr>
          <w:rFonts w:hint="eastAsia" w:ascii="仿宋_GB2312" w:hAnsi="仿宋_GB2312" w:eastAsia="仿宋_GB2312" w:cs="仿宋_GB2312"/>
          <w:sz w:val="32"/>
          <w:szCs w:val="32"/>
          <w:highlight w:val="yellow"/>
          <w:lang w:eastAsia="zh-CN"/>
        </w:rPr>
        <w:t>日</w:t>
      </w:r>
      <w:r>
        <w:rPr>
          <w:rFonts w:hint="eastAsia" w:ascii="仿宋_GB2312" w:hAnsi="仿宋_GB2312" w:eastAsia="仿宋_GB2312" w:cs="仿宋_GB2312"/>
          <w:sz w:val="32"/>
          <w:szCs w:val="32"/>
          <w:highlight w:val="yellow"/>
          <w:lang w:val="en-US" w:eastAsia="zh-CN"/>
        </w:rPr>
        <w:t>16</w:t>
      </w:r>
      <w:r>
        <w:rPr>
          <w:rFonts w:hint="eastAsia" w:ascii="仿宋_GB2312" w:hAnsi="仿宋_GB2312" w:eastAsia="仿宋_GB2312" w:cs="仿宋_GB2312"/>
          <w:sz w:val="32"/>
          <w:szCs w:val="32"/>
          <w:highlight w:val="yellow"/>
          <w:lang w:eastAsia="zh-CN"/>
        </w:rPr>
        <w:t>时</w:t>
      </w:r>
      <w:r>
        <w:rPr>
          <w:rFonts w:hint="eastAsia" w:ascii="仿宋_GB2312" w:hAnsi="仿宋_GB2312" w:eastAsia="仿宋_GB2312" w:cs="仿宋_GB2312"/>
          <w:sz w:val="32"/>
          <w:szCs w:val="32"/>
          <w:highlight w:val="yellow"/>
          <w:lang w:val="en-US" w:eastAsia="zh-CN"/>
        </w:rPr>
        <w:t>00</w:t>
      </w:r>
      <w:r>
        <w:rPr>
          <w:rFonts w:hint="eastAsia" w:ascii="仿宋_GB2312" w:hAnsi="仿宋_GB2312" w:eastAsia="仿宋_GB2312" w:cs="仿宋_GB2312"/>
          <w:sz w:val="32"/>
          <w:szCs w:val="32"/>
          <w:highlight w:val="yellow"/>
          <w:lang w:eastAsia="zh-CN"/>
        </w:rPr>
        <w:t>分</w:t>
      </w:r>
      <w:r>
        <w:rPr>
          <w:rFonts w:hint="eastAsia" w:ascii="仿宋_GB2312" w:hAnsi="仿宋_GB2312" w:eastAsia="仿宋_GB2312" w:cs="仿宋_GB2312"/>
          <w:sz w:val="32"/>
          <w:szCs w:val="32"/>
          <w:lang w:eastAsia="zh-CN"/>
        </w:rPr>
        <w:t>（北京时间）将密封投标文件提交至市生态环境局四楼会议室现场开标。逾期收到或不符合规定的投标文件恕不接受。届时请参加投标的代表携有效身份证件和法人代表授权书（法人需持法人证明文件）出席开标仪式，否则投标将被拒绝。</w:t>
      </w:r>
    </w:p>
    <w:p w14:paraId="141F02AA">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3、投标文件送达地点:信阳市生态环境局。</w:t>
      </w:r>
    </w:p>
    <w:p w14:paraId="4980011F">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五、开标时间及地点</w:t>
      </w:r>
    </w:p>
    <w:p w14:paraId="26FA4210">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1、时间：</w:t>
      </w:r>
      <w:r>
        <w:rPr>
          <w:rFonts w:hint="eastAsia" w:ascii="仿宋_GB2312" w:hAnsi="仿宋_GB2312" w:eastAsia="仿宋_GB2312" w:cs="仿宋_GB2312"/>
          <w:sz w:val="32"/>
          <w:szCs w:val="32"/>
          <w:highlight w:val="yellow"/>
          <w:lang w:eastAsia="zh-CN"/>
        </w:rPr>
        <w:t>202</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年</w:t>
      </w:r>
      <w:r>
        <w:rPr>
          <w:rFonts w:hint="eastAsia" w:ascii="仿宋_GB2312" w:hAnsi="仿宋_GB2312" w:eastAsia="仿宋_GB2312" w:cs="仿宋_GB2312"/>
          <w:sz w:val="32"/>
          <w:szCs w:val="32"/>
          <w:highlight w:val="yellow"/>
          <w:lang w:val="en-US" w:eastAsia="zh-CN"/>
        </w:rPr>
        <w:t>5</w:t>
      </w:r>
      <w:r>
        <w:rPr>
          <w:rFonts w:hint="eastAsia" w:ascii="仿宋_GB2312" w:hAnsi="仿宋_GB2312" w:eastAsia="仿宋_GB2312" w:cs="仿宋_GB2312"/>
          <w:sz w:val="32"/>
          <w:szCs w:val="32"/>
          <w:highlight w:val="yellow"/>
          <w:lang w:eastAsia="zh-CN"/>
        </w:rPr>
        <w:t>月</w:t>
      </w:r>
      <w:r>
        <w:rPr>
          <w:rFonts w:hint="eastAsia" w:ascii="仿宋_GB2312" w:hAnsi="仿宋_GB2312" w:eastAsia="仿宋_GB2312" w:cs="仿宋_GB2312"/>
          <w:sz w:val="32"/>
          <w:szCs w:val="32"/>
          <w:highlight w:val="yellow"/>
          <w:lang w:val="en-US" w:eastAsia="zh-CN"/>
        </w:rPr>
        <w:t>15</w:t>
      </w:r>
      <w:r>
        <w:rPr>
          <w:rFonts w:hint="eastAsia" w:ascii="仿宋_GB2312" w:hAnsi="仿宋_GB2312" w:eastAsia="仿宋_GB2312" w:cs="仿宋_GB2312"/>
          <w:sz w:val="32"/>
          <w:szCs w:val="32"/>
          <w:highlight w:val="yellow"/>
          <w:lang w:eastAsia="zh-CN"/>
        </w:rPr>
        <w:t>日</w:t>
      </w:r>
      <w:r>
        <w:rPr>
          <w:rFonts w:hint="eastAsia" w:ascii="仿宋_GB2312" w:hAnsi="仿宋_GB2312" w:eastAsia="仿宋_GB2312" w:cs="仿宋_GB2312"/>
          <w:sz w:val="32"/>
          <w:szCs w:val="32"/>
          <w:highlight w:val="yellow"/>
          <w:lang w:val="en-US" w:eastAsia="zh-CN"/>
        </w:rPr>
        <w:t>16</w:t>
      </w:r>
      <w:r>
        <w:rPr>
          <w:rFonts w:hint="eastAsia" w:ascii="仿宋_GB2312" w:hAnsi="仿宋_GB2312" w:eastAsia="仿宋_GB2312" w:cs="仿宋_GB2312"/>
          <w:sz w:val="32"/>
          <w:szCs w:val="32"/>
          <w:highlight w:val="yellow"/>
          <w:lang w:eastAsia="zh-CN"/>
        </w:rPr>
        <w:t>时</w:t>
      </w:r>
      <w:r>
        <w:rPr>
          <w:rFonts w:hint="eastAsia" w:ascii="仿宋_GB2312" w:hAnsi="仿宋_GB2312" w:eastAsia="仿宋_GB2312" w:cs="仿宋_GB2312"/>
          <w:sz w:val="32"/>
          <w:szCs w:val="32"/>
          <w:highlight w:val="yellow"/>
          <w:lang w:val="en-US" w:eastAsia="zh-CN"/>
        </w:rPr>
        <w:t>00</w:t>
      </w:r>
      <w:r>
        <w:rPr>
          <w:rFonts w:hint="eastAsia" w:ascii="仿宋_GB2312" w:hAnsi="仿宋_GB2312" w:eastAsia="仿宋_GB2312" w:cs="仿宋_GB2312"/>
          <w:sz w:val="32"/>
          <w:szCs w:val="32"/>
          <w:highlight w:val="yellow"/>
          <w:lang w:eastAsia="zh-CN"/>
        </w:rPr>
        <w:t>分</w:t>
      </w:r>
      <w:r>
        <w:rPr>
          <w:rFonts w:hint="eastAsia" w:ascii="仿宋_GB2312" w:hAnsi="仿宋_GB2312" w:eastAsia="仿宋_GB2312" w:cs="仿宋_GB2312"/>
          <w:sz w:val="32"/>
          <w:szCs w:val="32"/>
          <w:lang w:eastAsia="zh-CN"/>
        </w:rPr>
        <w:t>（北京时间）</w:t>
      </w:r>
    </w:p>
    <w:p w14:paraId="0FA23415">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2、地点：信阳市生态环境局四楼会议室</w:t>
      </w:r>
    </w:p>
    <w:p w14:paraId="427E0C10">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六、投标文件递交和评选方式</w:t>
      </w:r>
    </w:p>
    <w:p w14:paraId="06E596CF">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1、投标递交份数、方式：</w:t>
      </w:r>
    </w:p>
    <w:p w14:paraId="712136BE">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文件份数：电子版1份，纸质版正本1份、副本2份。</w:t>
      </w:r>
    </w:p>
    <w:p w14:paraId="596ABA6D">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递交方式：现场递交。</w:t>
      </w:r>
    </w:p>
    <w:p w14:paraId="11485930">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2、评选方法：综合评分法</w:t>
      </w:r>
    </w:p>
    <w:p w14:paraId="493A180B">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七、版权</w:t>
      </w:r>
    </w:p>
    <w:p w14:paraId="7CEB8757">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（1）本次邀请活动资料的有关版权</w:t>
      </w:r>
    </w:p>
    <w:p w14:paraId="61EB67D7">
      <w:pPr>
        <w:pStyle w:val="7"/>
        <w:kinsoku/>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信阳市生态环境局在本次投标活动中提供的所有资料均受版权保护。未得到授权，其他机构或个人不得将该版权内容复制、改编、分发、发布，或作其它用途，否则将承担法律责任。</w:t>
      </w:r>
    </w:p>
    <w:p w14:paraId="431824A4">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（2）投标人方案有关版权</w:t>
      </w:r>
    </w:p>
    <w:p w14:paraId="0219E28C">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1）投标方案中的所有内容须由投标人原创，不得侵犯任何第三者的知识产权，否则自行承担法律责任。</w:t>
      </w:r>
    </w:p>
    <w:p w14:paraId="75319025">
      <w:pPr>
        <w:pStyle w:val="7"/>
        <w:spacing w:line="560" w:lineRule="exact"/>
        <w:ind w:firstLine="640" w:firstLineChars="200"/>
        <w:jc w:val="both"/>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2）信阳市生态环境局享有投标方案的使用权和版权，有权采用所有投标方案的部分或全部内容进行设计、建设、复制、展览、印刷、出版或其他形式的发布等。</w:t>
      </w:r>
    </w:p>
    <w:p w14:paraId="1FCCB6D7">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八、本项目联系方式</w:t>
      </w:r>
    </w:p>
    <w:p w14:paraId="3AF34232">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采购单位：信阳市生态环境局</w:t>
      </w:r>
    </w:p>
    <w:p w14:paraId="0D685C39">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联系人：董洁</w:t>
      </w:r>
    </w:p>
    <w:p w14:paraId="4B805AF1">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联系电话：0376-6530002</w:t>
      </w:r>
    </w:p>
    <w:p w14:paraId="7931A73E">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监督电话：0676-6530392</w:t>
      </w:r>
    </w:p>
    <w:p w14:paraId="72D1E426">
      <w:pPr>
        <w:pStyle w:val="7"/>
        <w:spacing w:line="560" w:lineRule="exact"/>
        <w:ind w:firstLine="640" w:firstLineChars="2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详细地址：信阳市生态环境局</w:t>
      </w:r>
    </w:p>
    <w:p w14:paraId="35CB975C">
      <w:pPr>
        <w:pStyle w:val="7"/>
        <w:spacing w:line="560" w:lineRule="exact"/>
        <w:ind w:firstLine="640" w:firstLineChars="200"/>
        <w:rPr>
          <w:rFonts w:ascii="仿宋_GB2312" w:hAnsi="仿宋_GB2312" w:eastAsia="仿宋_GB2312" w:cs="仿宋_GB2312"/>
          <w:sz w:val="32"/>
          <w:szCs w:val="32"/>
          <w:lang w:eastAsia="zh-CN"/>
        </w:rPr>
      </w:pPr>
    </w:p>
    <w:p w14:paraId="01450B26">
      <w:pPr>
        <w:pStyle w:val="7"/>
        <w:spacing w:line="560" w:lineRule="exact"/>
        <w:ind w:firstLine="640" w:firstLineChars="200"/>
        <w:rPr>
          <w:rFonts w:ascii="仿宋_GB2312" w:hAnsi="仿宋_GB2312" w:eastAsia="仿宋_GB2312" w:cs="仿宋_GB2312"/>
          <w:sz w:val="32"/>
          <w:szCs w:val="32"/>
          <w:lang w:eastAsia="zh-CN"/>
        </w:rPr>
      </w:pPr>
    </w:p>
    <w:p w14:paraId="766C0F92">
      <w:pPr>
        <w:pStyle w:val="7"/>
        <w:spacing w:line="271" w:lineRule="auto"/>
        <w:rPr>
          <w:lang w:eastAsia="zh-CN"/>
        </w:rPr>
      </w:pPr>
    </w:p>
    <w:p w14:paraId="2F052DD4">
      <w:pPr>
        <w:pStyle w:val="7"/>
        <w:spacing w:line="352" w:lineRule="auto"/>
        <w:rPr>
          <w:lang w:eastAsia="zh-CN"/>
        </w:rPr>
      </w:pPr>
    </w:p>
    <w:p w14:paraId="0DC34F59">
      <w:pPr>
        <w:rPr>
          <w:lang w:eastAsia="zh-CN"/>
        </w:rPr>
        <w:sectPr>
          <w:footerReference r:id="rId3" w:type="default"/>
          <w:pgSz w:w="11906" w:h="16839"/>
          <w:pgMar w:top="1440" w:right="1800" w:bottom="1440" w:left="1800" w:header="0" w:footer="567" w:gutter="0"/>
          <w:pgNumType w:fmt="decimal" w:start="1"/>
          <w:cols w:space="720" w:num="1"/>
        </w:sectPr>
      </w:pPr>
    </w:p>
    <w:p w14:paraId="2BBE0239">
      <w:pPr>
        <w:spacing w:line="560" w:lineRule="exact"/>
        <w:jc w:val="center"/>
        <w:outlineLvl w:val="0"/>
        <w:rPr>
          <w:rFonts w:ascii="微软雅黑" w:hAnsi="微软雅黑" w:eastAsia="微软雅黑" w:cs="微软雅黑"/>
          <w:sz w:val="35"/>
          <w:szCs w:val="35"/>
        </w:rPr>
      </w:pPr>
      <w:r>
        <w:rPr>
          <w:rFonts w:hint="eastAsia" w:ascii="黑体" w:hAnsi="黑体" w:eastAsia="黑体" w:cs="黑体"/>
          <w:spacing w:val="4"/>
          <w:sz w:val="32"/>
          <w:szCs w:val="32"/>
          <w14:textOutline w14:w="6540" w14:cap="sq" w14:cmpd="sng" w14:algn="ctr">
            <w14:solidFill>
              <w14:srgbClr w14:val="000000"/>
            </w14:solidFill>
            <w14:prstDash w14:val="solid"/>
            <w14:bevel/>
          </w14:textOutline>
        </w:rPr>
        <w:t>第二章</w:t>
      </w:r>
      <w:r>
        <w:rPr>
          <w:rFonts w:hint="eastAsia" w:ascii="黑体" w:hAnsi="黑体" w:eastAsia="黑体" w:cs="黑体"/>
          <w:spacing w:val="101"/>
          <w:sz w:val="32"/>
          <w:szCs w:val="32"/>
        </w:rPr>
        <w:t xml:space="preserve"> </w:t>
      </w:r>
      <w:r>
        <w:rPr>
          <w:rFonts w:hint="eastAsia" w:ascii="黑体" w:hAnsi="黑体" w:eastAsia="黑体" w:cs="黑体"/>
          <w:spacing w:val="4"/>
          <w:sz w:val="32"/>
          <w:szCs w:val="32"/>
          <w14:textOutline w14:w="6540" w14:cap="sq" w14:cmpd="sng" w14:algn="ctr">
            <w14:solidFill>
              <w14:srgbClr w14:val="000000"/>
            </w14:solidFill>
            <w14:prstDash w14:val="solid"/>
            <w14:bevel/>
          </w14:textOutline>
        </w:rPr>
        <w:t>投标人须知</w:t>
      </w:r>
    </w:p>
    <w:p w14:paraId="47479027">
      <w:pPr>
        <w:spacing w:before="17"/>
      </w:pPr>
    </w:p>
    <w:p w14:paraId="56A89C0B">
      <w:pPr>
        <w:spacing w:before="16"/>
      </w:pPr>
    </w:p>
    <w:tbl>
      <w:tblPr>
        <w:tblStyle w:val="18"/>
        <w:tblW w:w="883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1602"/>
        <w:gridCol w:w="6423"/>
      </w:tblGrid>
      <w:tr w14:paraId="49D76DC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6" w:hRule="atLeast"/>
        </w:trPr>
        <w:tc>
          <w:tcPr>
            <w:tcW w:w="2414" w:type="dxa"/>
            <w:gridSpan w:val="2"/>
          </w:tcPr>
          <w:p w14:paraId="6C9FC5DF">
            <w:pPr>
              <w:pStyle w:val="19"/>
              <w:spacing w:before="114" w:line="218" w:lineRule="auto"/>
              <w:ind w:left="855"/>
              <w:rPr>
                <w:rFonts w:ascii="Times New Roman" w:hAnsi="Times New Roman" w:eastAsia="仿宋_GB2312" w:cs="Times New Roman"/>
              </w:rPr>
            </w:pPr>
            <w:r>
              <w:rPr>
                <w:rFonts w:ascii="Times New Roman" w:hAnsi="Times New Roman" w:eastAsia="仿宋_GB2312" w:cs="Times New Roman"/>
                <w:spacing w:val="-5"/>
              </w:rPr>
              <w:t>条款号</w:t>
            </w:r>
          </w:p>
        </w:tc>
        <w:tc>
          <w:tcPr>
            <w:tcW w:w="6423" w:type="dxa"/>
          </w:tcPr>
          <w:p w14:paraId="5EE00AC3">
            <w:pPr>
              <w:pStyle w:val="19"/>
              <w:spacing w:before="114" w:line="217" w:lineRule="auto"/>
              <w:ind w:left="3008"/>
              <w:rPr>
                <w:rFonts w:ascii="Times New Roman" w:hAnsi="Times New Roman" w:eastAsia="仿宋_GB2312" w:cs="Times New Roman"/>
              </w:rPr>
            </w:pPr>
            <w:r>
              <w:rPr>
                <w:rFonts w:ascii="Times New Roman" w:hAnsi="Times New Roman" w:eastAsia="仿宋_GB2312" w:cs="Times New Roman"/>
                <w:spacing w:val="-22"/>
              </w:rPr>
              <w:t>内容</w:t>
            </w:r>
          </w:p>
        </w:tc>
      </w:tr>
      <w:tr w14:paraId="1237BBD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812" w:type="dxa"/>
          </w:tcPr>
          <w:p w14:paraId="526421C7">
            <w:pPr>
              <w:spacing w:line="302" w:lineRule="auto"/>
              <w:rPr>
                <w:rFonts w:ascii="Times New Roman" w:hAnsi="Times New Roman" w:eastAsia="仿宋_GB2312" w:cs="Times New Roman"/>
              </w:rPr>
            </w:pPr>
          </w:p>
          <w:p w14:paraId="0AD5BAD5">
            <w:pPr>
              <w:pStyle w:val="19"/>
              <w:spacing w:before="78" w:line="180" w:lineRule="auto"/>
              <w:ind w:left="368"/>
              <w:rPr>
                <w:rFonts w:ascii="Times New Roman" w:hAnsi="Times New Roman" w:eastAsia="仿宋_GB2312" w:cs="Times New Roman"/>
              </w:rPr>
            </w:pPr>
            <w:r>
              <w:rPr>
                <w:rFonts w:ascii="Times New Roman" w:hAnsi="Times New Roman" w:eastAsia="仿宋_GB2312" w:cs="Times New Roman"/>
              </w:rPr>
              <w:t>1</w:t>
            </w:r>
          </w:p>
        </w:tc>
        <w:tc>
          <w:tcPr>
            <w:tcW w:w="1602" w:type="dxa"/>
          </w:tcPr>
          <w:p w14:paraId="644A9BCB">
            <w:pPr>
              <w:spacing w:line="271" w:lineRule="auto"/>
              <w:rPr>
                <w:rFonts w:ascii="Times New Roman" w:hAnsi="Times New Roman" w:eastAsia="仿宋_GB2312" w:cs="Times New Roman"/>
              </w:rPr>
            </w:pPr>
          </w:p>
          <w:p w14:paraId="216E9C19">
            <w:pPr>
              <w:pStyle w:val="19"/>
              <w:spacing w:before="78" w:line="217" w:lineRule="auto"/>
              <w:ind w:left="112"/>
              <w:rPr>
                <w:rFonts w:ascii="Times New Roman" w:hAnsi="Times New Roman" w:eastAsia="仿宋_GB2312" w:cs="Times New Roman"/>
              </w:rPr>
            </w:pPr>
            <w:r>
              <w:rPr>
                <w:rFonts w:ascii="Times New Roman" w:hAnsi="Times New Roman" w:eastAsia="仿宋_GB2312" w:cs="Times New Roman"/>
                <w:spacing w:val="-4"/>
              </w:rPr>
              <w:t>采购人</w:t>
            </w:r>
          </w:p>
        </w:tc>
        <w:tc>
          <w:tcPr>
            <w:tcW w:w="6423" w:type="dxa"/>
          </w:tcPr>
          <w:p w14:paraId="01B12A5A">
            <w:pPr>
              <w:pStyle w:val="19"/>
              <w:spacing w:before="39" w:line="216" w:lineRule="auto"/>
              <w:ind w:left="114"/>
              <w:rPr>
                <w:rFonts w:ascii="Times New Roman" w:hAnsi="Times New Roman" w:eastAsia="仿宋_GB2312" w:cs="Times New Roman"/>
                <w:lang w:eastAsia="zh-CN"/>
              </w:rPr>
            </w:pPr>
            <w:r>
              <w:rPr>
                <w:rFonts w:ascii="Times New Roman" w:hAnsi="Times New Roman" w:eastAsia="仿宋_GB2312" w:cs="Times New Roman"/>
                <w:spacing w:val="-1"/>
                <w:lang w:eastAsia="zh-CN"/>
              </w:rPr>
              <w:t>采购人：信阳市生态环境局</w:t>
            </w:r>
          </w:p>
          <w:p w14:paraId="76CD5702">
            <w:pPr>
              <w:pStyle w:val="19"/>
              <w:spacing w:before="30" w:line="219" w:lineRule="auto"/>
              <w:ind w:left="114"/>
              <w:rPr>
                <w:rFonts w:hint="default" w:ascii="Times New Roman" w:hAnsi="Times New Roman" w:eastAsia="仿宋_GB2312" w:cs="Times New Roman"/>
                <w:lang w:val="en-US" w:eastAsia="zh-CN"/>
              </w:rPr>
            </w:pPr>
            <w:r>
              <w:rPr>
                <w:rFonts w:ascii="Times New Roman" w:hAnsi="Times New Roman" w:eastAsia="仿宋_GB2312" w:cs="Times New Roman"/>
                <w:spacing w:val="-2"/>
                <w:lang w:eastAsia="zh-CN"/>
              </w:rPr>
              <w:t>联系人：</w:t>
            </w:r>
            <w:r>
              <w:rPr>
                <w:rFonts w:hint="eastAsia" w:ascii="Times New Roman" w:hAnsi="Times New Roman" w:eastAsia="仿宋_GB2312" w:cs="Times New Roman"/>
                <w:spacing w:val="-2"/>
                <w:lang w:eastAsia="zh-CN"/>
              </w:rPr>
              <w:t>董洁</w:t>
            </w:r>
          </w:p>
          <w:p w14:paraId="1056DF0B">
            <w:pPr>
              <w:pStyle w:val="19"/>
              <w:spacing w:before="27" w:line="205" w:lineRule="auto"/>
              <w:ind w:left="114"/>
              <w:rPr>
                <w:rFonts w:ascii="Times New Roman" w:hAnsi="Times New Roman" w:eastAsia="仿宋_GB2312" w:cs="Times New Roman"/>
                <w:lang w:eastAsia="zh-CN"/>
              </w:rPr>
            </w:pPr>
            <w:r>
              <w:rPr>
                <w:rFonts w:ascii="Times New Roman" w:hAnsi="Times New Roman" w:eastAsia="仿宋_GB2312" w:cs="Times New Roman"/>
                <w:spacing w:val="-1"/>
                <w:lang w:eastAsia="zh-CN"/>
              </w:rPr>
              <w:t>联系方式：0376-653000</w:t>
            </w:r>
            <w:r>
              <w:rPr>
                <w:rFonts w:hint="eastAsia" w:ascii="Times New Roman" w:hAnsi="Times New Roman" w:eastAsia="仿宋_GB2312" w:cs="Times New Roman"/>
                <w:spacing w:val="-1"/>
                <w:lang w:val="en-US" w:eastAsia="zh-CN"/>
              </w:rPr>
              <w:t>2</w:t>
            </w:r>
          </w:p>
        </w:tc>
      </w:tr>
      <w:tr w14:paraId="2F0C3C5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12" w:type="dxa"/>
          </w:tcPr>
          <w:p w14:paraId="6313029D">
            <w:pPr>
              <w:pStyle w:val="19"/>
              <w:spacing w:before="281" w:line="180" w:lineRule="auto"/>
              <w:ind w:left="363"/>
              <w:rPr>
                <w:rFonts w:ascii="Times New Roman" w:hAnsi="Times New Roman" w:eastAsia="仿宋_GB2312" w:cs="Times New Roman"/>
              </w:rPr>
            </w:pPr>
            <w:r>
              <w:rPr>
                <w:rFonts w:ascii="Times New Roman" w:hAnsi="Times New Roman" w:eastAsia="仿宋_GB2312" w:cs="Times New Roman"/>
              </w:rPr>
              <w:t>2</w:t>
            </w:r>
          </w:p>
        </w:tc>
        <w:tc>
          <w:tcPr>
            <w:tcW w:w="1602" w:type="dxa"/>
          </w:tcPr>
          <w:p w14:paraId="58C3F26C">
            <w:pPr>
              <w:pStyle w:val="19"/>
              <w:spacing w:before="251" w:line="216" w:lineRule="auto"/>
              <w:ind w:left="112"/>
              <w:rPr>
                <w:rFonts w:ascii="Times New Roman" w:hAnsi="Times New Roman" w:eastAsia="仿宋_GB2312" w:cs="Times New Roman"/>
              </w:rPr>
            </w:pPr>
            <w:r>
              <w:rPr>
                <w:rFonts w:ascii="Times New Roman" w:hAnsi="Times New Roman" w:eastAsia="仿宋_GB2312" w:cs="Times New Roman"/>
                <w:spacing w:val="-3"/>
              </w:rPr>
              <w:t>采购预算</w:t>
            </w:r>
          </w:p>
        </w:tc>
        <w:tc>
          <w:tcPr>
            <w:tcW w:w="6423" w:type="dxa"/>
          </w:tcPr>
          <w:p w14:paraId="28EBE1AD">
            <w:pPr>
              <w:pStyle w:val="19"/>
              <w:spacing w:before="94" w:line="229" w:lineRule="auto"/>
              <w:ind w:left="112" w:right="114" w:firstLine="1"/>
              <w:jc w:val="both"/>
              <w:rPr>
                <w:rFonts w:ascii="Times New Roman" w:hAnsi="Times New Roman" w:eastAsia="仿宋_GB2312" w:cs="Times New Roman"/>
                <w:lang w:eastAsia="zh-CN"/>
              </w:rPr>
            </w:pPr>
            <w:r>
              <w:rPr>
                <w:rFonts w:ascii="Times New Roman" w:hAnsi="Times New Roman" w:eastAsia="仿宋_GB2312" w:cs="Times New Roman"/>
                <w:spacing w:val="1"/>
                <w:lang w:eastAsia="zh-CN"/>
              </w:rPr>
              <w:t>本项目最高限价为</w:t>
            </w:r>
            <w:r>
              <w:rPr>
                <w:rFonts w:hint="eastAsia" w:ascii="Times New Roman" w:hAnsi="Times New Roman" w:eastAsia="仿宋_GB2312" w:cs="Times New Roman"/>
                <w:spacing w:val="1"/>
                <w:lang w:val="en-US" w:eastAsia="zh-CN"/>
              </w:rPr>
              <w:t>495</w:t>
            </w:r>
            <w:r>
              <w:rPr>
                <w:rFonts w:hint="eastAsia" w:ascii="Times New Roman" w:hAnsi="Times New Roman" w:eastAsia="仿宋_GB2312" w:cs="Times New Roman"/>
                <w:spacing w:val="-39"/>
                <w:lang w:eastAsia="zh-CN"/>
              </w:rPr>
              <w:t>000</w:t>
            </w:r>
            <w:r>
              <w:rPr>
                <w:rFonts w:ascii="Times New Roman" w:hAnsi="Times New Roman" w:eastAsia="仿宋_GB2312" w:cs="Times New Roman"/>
                <w:spacing w:val="-39"/>
                <w:lang w:eastAsia="zh-CN"/>
              </w:rPr>
              <w:t>元</w:t>
            </w:r>
            <w:r>
              <w:rPr>
                <w:rFonts w:ascii="Times New Roman" w:hAnsi="Times New Roman" w:eastAsia="仿宋_GB2312" w:cs="Times New Roman"/>
                <w:spacing w:val="-2"/>
                <w:lang w:eastAsia="zh-CN"/>
              </w:rPr>
              <w:t>。</w:t>
            </w:r>
          </w:p>
        </w:tc>
      </w:tr>
      <w:tr w14:paraId="76E5B49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812" w:type="dxa"/>
          </w:tcPr>
          <w:p w14:paraId="71F2899C">
            <w:pPr>
              <w:pStyle w:val="19"/>
              <w:spacing w:before="200" w:line="181" w:lineRule="auto"/>
              <w:ind w:left="372"/>
              <w:rPr>
                <w:rFonts w:ascii="Times New Roman" w:hAnsi="Times New Roman" w:eastAsia="仿宋_GB2312" w:cs="Times New Roman"/>
              </w:rPr>
            </w:pPr>
            <w:r>
              <w:rPr>
                <w:rFonts w:ascii="Times New Roman" w:hAnsi="Times New Roman" w:eastAsia="仿宋_GB2312" w:cs="Times New Roman"/>
              </w:rPr>
              <w:t>3</w:t>
            </w:r>
          </w:p>
        </w:tc>
        <w:tc>
          <w:tcPr>
            <w:tcW w:w="1602" w:type="dxa"/>
          </w:tcPr>
          <w:p w14:paraId="46DFDAAC">
            <w:pPr>
              <w:pStyle w:val="19"/>
              <w:spacing w:before="169" w:line="216" w:lineRule="auto"/>
              <w:ind w:left="123"/>
              <w:rPr>
                <w:rFonts w:ascii="Times New Roman" w:hAnsi="Times New Roman" w:eastAsia="仿宋_GB2312" w:cs="Times New Roman"/>
              </w:rPr>
            </w:pPr>
            <w:r>
              <w:rPr>
                <w:rFonts w:ascii="Times New Roman" w:hAnsi="Times New Roman" w:eastAsia="仿宋_GB2312" w:cs="Times New Roman"/>
                <w:spacing w:val="-5"/>
              </w:rPr>
              <w:t>资金来源</w:t>
            </w:r>
          </w:p>
        </w:tc>
        <w:tc>
          <w:tcPr>
            <w:tcW w:w="6423" w:type="dxa"/>
          </w:tcPr>
          <w:p w14:paraId="377CB599">
            <w:pPr>
              <w:pStyle w:val="19"/>
              <w:spacing w:before="169" w:line="217" w:lineRule="auto"/>
              <w:ind w:left="117"/>
              <w:rPr>
                <w:rFonts w:ascii="Times New Roman" w:hAnsi="Times New Roman" w:eastAsia="仿宋_GB2312" w:cs="Times New Roman"/>
                <w:lang w:eastAsia="zh-CN"/>
              </w:rPr>
            </w:pPr>
            <w:r>
              <w:rPr>
                <w:rFonts w:ascii="Times New Roman" w:hAnsi="Times New Roman" w:eastAsia="仿宋_GB2312" w:cs="Times New Roman"/>
                <w:spacing w:val="-2"/>
                <w:lang w:eastAsia="zh-CN"/>
              </w:rPr>
              <w:t>财政资金，资金已落实</w:t>
            </w:r>
          </w:p>
        </w:tc>
      </w:tr>
      <w:tr w14:paraId="7B061DF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1" w:hRule="atLeast"/>
        </w:trPr>
        <w:tc>
          <w:tcPr>
            <w:tcW w:w="812" w:type="dxa"/>
          </w:tcPr>
          <w:p w14:paraId="7DAECD69">
            <w:pPr>
              <w:pStyle w:val="19"/>
              <w:spacing w:before="221" w:line="180" w:lineRule="auto"/>
              <w:ind w:left="354"/>
              <w:rPr>
                <w:rFonts w:ascii="Times New Roman" w:hAnsi="Times New Roman" w:eastAsia="仿宋_GB2312" w:cs="Times New Roman"/>
              </w:rPr>
            </w:pPr>
            <w:r>
              <w:rPr>
                <w:rFonts w:ascii="Times New Roman" w:hAnsi="Times New Roman" w:eastAsia="仿宋_GB2312" w:cs="Times New Roman"/>
              </w:rPr>
              <w:t>4</w:t>
            </w:r>
          </w:p>
        </w:tc>
        <w:tc>
          <w:tcPr>
            <w:tcW w:w="1602" w:type="dxa"/>
          </w:tcPr>
          <w:p w14:paraId="104B29E2">
            <w:pPr>
              <w:pStyle w:val="19"/>
              <w:spacing w:before="190" w:line="217" w:lineRule="auto"/>
              <w:ind w:left="112"/>
              <w:rPr>
                <w:rFonts w:ascii="Times New Roman" w:hAnsi="Times New Roman" w:eastAsia="仿宋_GB2312" w:cs="Times New Roman"/>
              </w:rPr>
            </w:pPr>
            <w:r>
              <w:rPr>
                <w:rFonts w:ascii="Times New Roman" w:hAnsi="Times New Roman" w:eastAsia="仿宋_GB2312" w:cs="Times New Roman"/>
                <w:spacing w:val="-3"/>
              </w:rPr>
              <w:t>采购内容</w:t>
            </w:r>
          </w:p>
        </w:tc>
        <w:tc>
          <w:tcPr>
            <w:tcW w:w="6423" w:type="dxa"/>
          </w:tcPr>
          <w:p w14:paraId="1D5794E5">
            <w:pPr>
              <w:pStyle w:val="19"/>
              <w:spacing w:before="192" w:line="215" w:lineRule="auto"/>
              <w:rPr>
                <w:rFonts w:ascii="Times New Roman" w:hAnsi="Times New Roman" w:eastAsia="仿宋_GB2312" w:cs="Times New Roman"/>
                <w:lang w:eastAsia="zh-CN"/>
              </w:rPr>
            </w:pPr>
            <w:r>
              <w:rPr>
                <w:rFonts w:hint="default" w:ascii="Times New Roman" w:hAnsi="Times New Roman" w:eastAsia="仿宋_GB2312" w:cs="Times New Roman"/>
                <w:spacing w:val="-2"/>
                <w:lang w:val="en-US" w:eastAsia="zh-CN"/>
              </w:rPr>
              <w:t>信阳市生态环境局机动车“天地车人”一体化平台运维</w:t>
            </w:r>
          </w:p>
        </w:tc>
      </w:tr>
      <w:tr w14:paraId="1A774A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16" w:hRule="atLeast"/>
        </w:trPr>
        <w:tc>
          <w:tcPr>
            <w:tcW w:w="812" w:type="dxa"/>
          </w:tcPr>
          <w:p w14:paraId="1F720505">
            <w:pPr>
              <w:spacing w:line="242" w:lineRule="auto"/>
              <w:rPr>
                <w:rFonts w:ascii="Times New Roman" w:hAnsi="Times New Roman" w:eastAsia="仿宋_GB2312" w:cs="Times New Roman"/>
                <w:lang w:eastAsia="zh-CN"/>
              </w:rPr>
            </w:pPr>
          </w:p>
          <w:p w14:paraId="0C71B52F">
            <w:pPr>
              <w:spacing w:line="242" w:lineRule="auto"/>
              <w:rPr>
                <w:rFonts w:ascii="Times New Roman" w:hAnsi="Times New Roman" w:eastAsia="仿宋_GB2312" w:cs="Times New Roman"/>
                <w:lang w:eastAsia="zh-CN"/>
              </w:rPr>
            </w:pPr>
          </w:p>
          <w:p w14:paraId="57B12602">
            <w:pPr>
              <w:spacing w:line="242" w:lineRule="auto"/>
              <w:rPr>
                <w:rFonts w:ascii="Times New Roman" w:hAnsi="Times New Roman" w:eastAsia="仿宋_GB2312" w:cs="Times New Roman"/>
                <w:lang w:eastAsia="zh-CN"/>
              </w:rPr>
            </w:pPr>
          </w:p>
          <w:p w14:paraId="05881191">
            <w:pPr>
              <w:spacing w:line="242" w:lineRule="auto"/>
              <w:rPr>
                <w:rFonts w:ascii="Times New Roman" w:hAnsi="Times New Roman" w:eastAsia="仿宋_GB2312" w:cs="Times New Roman"/>
                <w:lang w:eastAsia="zh-CN"/>
              </w:rPr>
            </w:pPr>
          </w:p>
          <w:p w14:paraId="5D0B1481">
            <w:pPr>
              <w:spacing w:line="242" w:lineRule="auto"/>
              <w:rPr>
                <w:rFonts w:ascii="Times New Roman" w:hAnsi="Times New Roman" w:eastAsia="仿宋_GB2312" w:cs="Times New Roman"/>
                <w:lang w:eastAsia="zh-CN"/>
              </w:rPr>
            </w:pPr>
          </w:p>
          <w:p w14:paraId="495B5F72">
            <w:pPr>
              <w:spacing w:line="242" w:lineRule="auto"/>
              <w:rPr>
                <w:rFonts w:ascii="Times New Roman" w:hAnsi="Times New Roman" w:eastAsia="仿宋_GB2312" w:cs="Times New Roman"/>
                <w:lang w:eastAsia="zh-CN"/>
              </w:rPr>
            </w:pPr>
          </w:p>
          <w:p w14:paraId="1D1F8986">
            <w:pPr>
              <w:spacing w:line="242" w:lineRule="auto"/>
              <w:rPr>
                <w:rFonts w:ascii="Times New Roman" w:hAnsi="Times New Roman" w:eastAsia="仿宋_GB2312" w:cs="Times New Roman"/>
                <w:lang w:eastAsia="zh-CN"/>
              </w:rPr>
            </w:pPr>
          </w:p>
          <w:p w14:paraId="600CBBC3">
            <w:pPr>
              <w:spacing w:line="242" w:lineRule="auto"/>
              <w:rPr>
                <w:rFonts w:ascii="Times New Roman" w:hAnsi="Times New Roman" w:eastAsia="仿宋_GB2312" w:cs="Times New Roman"/>
                <w:lang w:eastAsia="zh-CN"/>
              </w:rPr>
            </w:pPr>
          </w:p>
          <w:p w14:paraId="6AA53609">
            <w:pPr>
              <w:spacing w:line="242" w:lineRule="auto"/>
              <w:rPr>
                <w:rFonts w:ascii="Times New Roman" w:hAnsi="Times New Roman" w:eastAsia="仿宋_GB2312" w:cs="Times New Roman"/>
                <w:lang w:eastAsia="zh-CN"/>
              </w:rPr>
            </w:pPr>
          </w:p>
          <w:p w14:paraId="3EE90E59">
            <w:pPr>
              <w:spacing w:line="242" w:lineRule="auto"/>
              <w:rPr>
                <w:rFonts w:ascii="Times New Roman" w:hAnsi="Times New Roman" w:eastAsia="仿宋_GB2312" w:cs="Times New Roman"/>
                <w:lang w:eastAsia="zh-CN"/>
              </w:rPr>
            </w:pPr>
          </w:p>
          <w:p w14:paraId="28D5E72A">
            <w:pPr>
              <w:spacing w:line="242" w:lineRule="auto"/>
              <w:rPr>
                <w:rFonts w:ascii="Times New Roman" w:hAnsi="Times New Roman" w:eastAsia="仿宋_GB2312" w:cs="Times New Roman"/>
                <w:lang w:eastAsia="zh-CN"/>
              </w:rPr>
            </w:pPr>
          </w:p>
          <w:p w14:paraId="3F540F45">
            <w:pPr>
              <w:spacing w:line="242" w:lineRule="auto"/>
              <w:rPr>
                <w:rFonts w:ascii="Times New Roman" w:hAnsi="Times New Roman" w:eastAsia="仿宋_GB2312" w:cs="Times New Roman"/>
                <w:lang w:eastAsia="zh-CN"/>
              </w:rPr>
            </w:pPr>
          </w:p>
          <w:p w14:paraId="375FC871">
            <w:pPr>
              <w:spacing w:line="242" w:lineRule="auto"/>
              <w:rPr>
                <w:rFonts w:ascii="Times New Roman" w:hAnsi="Times New Roman" w:eastAsia="仿宋_GB2312" w:cs="Times New Roman"/>
                <w:lang w:eastAsia="zh-CN"/>
              </w:rPr>
            </w:pPr>
          </w:p>
          <w:p w14:paraId="057EAE93">
            <w:pPr>
              <w:spacing w:line="242" w:lineRule="auto"/>
              <w:rPr>
                <w:rFonts w:ascii="Times New Roman" w:hAnsi="Times New Roman" w:eastAsia="仿宋_GB2312" w:cs="Times New Roman"/>
                <w:lang w:eastAsia="zh-CN"/>
              </w:rPr>
            </w:pPr>
          </w:p>
          <w:p w14:paraId="701E72C1">
            <w:pPr>
              <w:spacing w:line="242" w:lineRule="auto"/>
              <w:rPr>
                <w:rFonts w:ascii="Times New Roman" w:hAnsi="Times New Roman" w:eastAsia="仿宋_GB2312" w:cs="Times New Roman"/>
                <w:lang w:eastAsia="zh-CN"/>
              </w:rPr>
            </w:pPr>
          </w:p>
          <w:p w14:paraId="24140C33">
            <w:pPr>
              <w:spacing w:line="242" w:lineRule="auto"/>
              <w:rPr>
                <w:rFonts w:ascii="Times New Roman" w:hAnsi="Times New Roman" w:eastAsia="仿宋_GB2312" w:cs="Times New Roman"/>
                <w:lang w:eastAsia="zh-CN"/>
              </w:rPr>
            </w:pPr>
          </w:p>
          <w:p w14:paraId="0A3AD0D7">
            <w:pPr>
              <w:pStyle w:val="19"/>
              <w:spacing w:before="78" w:line="178" w:lineRule="auto"/>
              <w:ind w:left="373"/>
              <w:rPr>
                <w:rFonts w:ascii="Times New Roman" w:hAnsi="Times New Roman" w:eastAsia="仿宋_GB2312" w:cs="Times New Roman"/>
              </w:rPr>
            </w:pPr>
            <w:r>
              <w:rPr>
                <w:rFonts w:ascii="Times New Roman" w:hAnsi="Times New Roman" w:eastAsia="仿宋_GB2312" w:cs="Times New Roman"/>
              </w:rPr>
              <w:t>5</w:t>
            </w:r>
          </w:p>
        </w:tc>
        <w:tc>
          <w:tcPr>
            <w:tcW w:w="1602" w:type="dxa"/>
          </w:tcPr>
          <w:p w14:paraId="7AC6A67A">
            <w:pPr>
              <w:spacing w:line="244" w:lineRule="auto"/>
              <w:rPr>
                <w:rFonts w:ascii="Times New Roman" w:hAnsi="Times New Roman" w:eastAsia="仿宋_GB2312" w:cs="Times New Roman"/>
              </w:rPr>
            </w:pPr>
          </w:p>
          <w:p w14:paraId="4C696D97">
            <w:pPr>
              <w:spacing w:line="244" w:lineRule="auto"/>
              <w:rPr>
                <w:rFonts w:ascii="Times New Roman" w:hAnsi="Times New Roman" w:eastAsia="仿宋_GB2312" w:cs="Times New Roman"/>
              </w:rPr>
            </w:pPr>
          </w:p>
          <w:p w14:paraId="09CCAF93">
            <w:pPr>
              <w:spacing w:line="244" w:lineRule="auto"/>
              <w:rPr>
                <w:rFonts w:ascii="Times New Roman" w:hAnsi="Times New Roman" w:eastAsia="仿宋_GB2312" w:cs="Times New Roman"/>
              </w:rPr>
            </w:pPr>
          </w:p>
          <w:p w14:paraId="5D1A6421">
            <w:pPr>
              <w:spacing w:line="244" w:lineRule="auto"/>
              <w:rPr>
                <w:rFonts w:ascii="Times New Roman" w:hAnsi="Times New Roman" w:eastAsia="仿宋_GB2312" w:cs="Times New Roman"/>
              </w:rPr>
            </w:pPr>
          </w:p>
          <w:p w14:paraId="6A7D13B4">
            <w:pPr>
              <w:spacing w:line="244" w:lineRule="auto"/>
              <w:rPr>
                <w:rFonts w:ascii="Times New Roman" w:hAnsi="Times New Roman" w:eastAsia="仿宋_GB2312" w:cs="Times New Roman"/>
              </w:rPr>
            </w:pPr>
          </w:p>
          <w:p w14:paraId="5A5FD435">
            <w:pPr>
              <w:spacing w:line="245" w:lineRule="auto"/>
              <w:rPr>
                <w:rFonts w:ascii="Times New Roman" w:hAnsi="Times New Roman" w:eastAsia="仿宋_GB2312" w:cs="Times New Roman"/>
              </w:rPr>
            </w:pPr>
          </w:p>
          <w:p w14:paraId="11D49D9C">
            <w:pPr>
              <w:spacing w:line="245" w:lineRule="auto"/>
              <w:rPr>
                <w:rFonts w:ascii="Times New Roman" w:hAnsi="Times New Roman" w:eastAsia="仿宋_GB2312" w:cs="Times New Roman"/>
              </w:rPr>
            </w:pPr>
          </w:p>
          <w:p w14:paraId="72AFDC40">
            <w:pPr>
              <w:spacing w:line="245" w:lineRule="auto"/>
              <w:rPr>
                <w:rFonts w:ascii="Times New Roman" w:hAnsi="Times New Roman" w:eastAsia="仿宋_GB2312" w:cs="Times New Roman"/>
              </w:rPr>
            </w:pPr>
          </w:p>
          <w:p w14:paraId="4A2CFEF1">
            <w:pPr>
              <w:spacing w:line="245" w:lineRule="auto"/>
              <w:rPr>
                <w:rFonts w:ascii="Times New Roman" w:hAnsi="Times New Roman" w:eastAsia="仿宋_GB2312" w:cs="Times New Roman"/>
              </w:rPr>
            </w:pPr>
          </w:p>
          <w:p w14:paraId="06D7EEED">
            <w:pPr>
              <w:spacing w:line="245" w:lineRule="auto"/>
              <w:rPr>
                <w:rFonts w:ascii="Times New Roman" w:hAnsi="Times New Roman" w:eastAsia="仿宋_GB2312" w:cs="Times New Roman"/>
              </w:rPr>
            </w:pPr>
          </w:p>
          <w:p w14:paraId="2312FF08">
            <w:pPr>
              <w:spacing w:line="245" w:lineRule="auto"/>
              <w:rPr>
                <w:rFonts w:ascii="Times New Roman" w:hAnsi="Times New Roman" w:eastAsia="仿宋_GB2312" w:cs="Times New Roman"/>
              </w:rPr>
            </w:pPr>
          </w:p>
          <w:p w14:paraId="1FBD1F5F">
            <w:pPr>
              <w:spacing w:line="245" w:lineRule="auto"/>
              <w:rPr>
                <w:rFonts w:ascii="Times New Roman" w:hAnsi="Times New Roman" w:eastAsia="仿宋_GB2312" w:cs="Times New Roman"/>
              </w:rPr>
            </w:pPr>
          </w:p>
          <w:p w14:paraId="4CE029AB">
            <w:pPr>
              <w:spacing w:line="245" w:lineRule="auto"/>
              <w:rPr>
                <w:rFonts w:ascii="Times New Roman" w:hAnsi="Times New Roman" w:eastAsia="仿宋_GB2312" w:cs="Times New Roman"/>
              </w:rPr>
            </w:pPr>
          </w:p>
          <w:p w14:paraId="5327C29D">
            <w:pPr>
              <w:spacing w:line="245" w:lineRule="auto"/>
              <w:rPr>
                <w:rFonts w:ascii="Times New Roman" w:hAnsi="Times New Roman" w:eastAsia="仿宋_GB2312" w:cs="Times New Roman"/>
              </w:rPr>
            </w:pPr>
          </w:p>
          <w:p w14:paraId="63C0A515">
            <w:pPr>
              <w:spacing w:line="245" w:lineRule="auto"/>
              <w:rPr>
                <w:rFonts w:ascii="Times New Roman" w:hAnsi="Times New Roman" w:eastAsia="仿宋_GB2312" w:cs="Times New Roman"/>
              </w:rPr>
            </w:pPr>
          </w:p>
          <w:p w14:paraId="1480E1B3">
            <w:pPr>
              <w:pStyle w:val="19"/>
              <w:spacing w:before="78" w:line="238" w:lineRule="auto"/>
              <w:ind w:left="115" w:right="106"/>
              <w:rPr>
                <w:rFonts w:ascii="Times New Roman" w:hAnsi="Times New Roman" w:eastAsia="仿宋_GB2312" w:cs="Times New Roman"/>
              </w:rPr>
            </w:pPr>
            <w:r>
              <w:rPr>
                <w:rFonts w:ascii="Times New Roman" w:hAnsi="Times New Roman" w:eastAsia="仿宋_GB2312" w:cs="Times New Roman"/>
                <w:spacing w:val="34"/>
              </w:rPr>
              <w:t>投标人资格</w:t>
            </w:r>
            <w:r>
              <w:rPr>
                <w:rFonts w:ascii="Times New Roman" w:hAnsi="Times New Roman" w:eastAsia="仿宋_GB2312" w:cs="Times New Roman"/>
                <w:spacing w:val="3"/>
              </w:rPr>
              <w:t xml:space="preserve"> </w:t>
            </w:r>
            <w:r>
              <w:rPr>
                <w:rFonts w:ascii="Times New Roman" w:hAnsi="Times New Roman" w:eastAsia="仿宋_GB2312" w:cs="Times New Roman"/>
                <w:spacing w:val="-7"/>
              </w:rPr>
              <w:t>条件</w:t>
            </w:r>
          </w:p>
        </w:tc>
        <w:tc>
          <w:tcPr>
            <w:tcW w:w="6423" w:type="dxa"/>
          </w:tcPr>
          <w:p w14:paraId="260B97E8">
            <w:pPr>
              <w:pStyle w:val="19"/>
              <w:spacing w:before="40" w:line="227" w:lineRule="auto"/>
              <w:ind w:left="109" w:right="114" w:firstLine="19"/>
              <w:rPr>
                <w:rFonts w:ascii="Times New Roman" w:hAnsi="Times New Roman" w:eastAsia="仿宋_GB2312" w:cs="Times New Roman"/>
                <w:lang w:eastAsia="zh-CN"/>
              </w:rPr>
            </w:pPr>
            <w:r>
              <w:rPr>
                <w:rFonts w:ascii="Times New Roman" w:hAnsi="Times New Roman" w:eastAsia="仿宋_GB2312" w:cs="Times New Roman"/>
                <w:spacing w:val="2"/>
                <w:lang w:eastAsia="zh-CN"/>
              </w:rPr>
              <w:t>1、投标人应符合《中国政府采购网》第二十二条规定并提</w:t>
            </w:r>
            <w:r>
              <w:rPr>
                <w:rFonts w:ascii="Times New Roman" w:hAnsi="Times New Roman" w:eastAsia="仿宋_GB2312" w:cs="Times New Roman"/>
                <w:spacing w:val="-1"/>
                <w:lang w:eastAsia="zh-CN"/>
              </w:rPr>
              <w:t>供相关证明材料</w:t>
            </w:r>
          </w:p>
          <w:p w14:paraId="0F88472C">
            <w:pPr>
              <w:pStyle w:val="19"/>
              <w:spacing w:before="31" w:line="231" w:lineRule="auto"/>
              <w:ind w:left="131" w:right="114" w:hanging="22"/>
              <w:jc w:val="both"/>
              <w:rPr>
                <w:rFonts w:ascii="Times New Roman" w:hAnsi="Times New Roman" w:eastAsia="仿宋_GB2312" w:cs="Times New Roman"/>
                <w:lang w:eastAsia="zh-CN"/>
              </w:rPr>
            </w:pPr>
            <w:r>
              <w:rPr>
                <w:rFonts w:ascii="Times New Roman" w:hAnsi="Times New Roman" w:eastAsia="仿宋_GB2312" w:cs="Times New Roman"/>
                <w:spacing w:val="3"/>
                <w:lang w:eastAsia="zh-CN"/>
              </w:rPr>
              <w:t>（1）具有独立承担民事责任的能力，须提供有</w:t>
            </w:r>
            <w:r>
              <w:rPr>
                <w:rFonts w:ascii="Times New Roman" w:hAnsi="Times New Roman" w:eastAsia="仿宋_GB2312" w:cs="Times New Roman"/>
                <w:spacing w:val="2"/>
                <w:lang w:eastAsia="zh-CN"/>
              </w:rPr>
              <w:t>效的营业执</w:t>
            </w:r>
            <w:r>
              <w:rPr>
                <w:rFonts w:ascii="Times New Roman" w:hAnsi="Times New Roman" w:eastAsia="仿宋_GB2312" w:cs="Times New Roman"/>
                <w:spacing w:val="-14"/>
                <w:lang w:eastAsia="zh-CN"/>
              </w:rPr>
              <w:t>照。</w:t>
            </w:r>
          </w:p>
          <w:p w14:paraId="54C2A581">
            <w:pPr>
              <w:pStyle w:val="19"/>
              <w:spacing w:before="24" w:line="232" w:lineRule="auto"/>
              <w:ind w:left="117" w:right="114" w:hanging="8"/>
              <w:jc w:val="both"/>
              <w:rPr>
                <w:rFonts w:ascii="Times New Roman" w:hAnsi="Times New Roman" w:eastAsia="仿宋_GB2312" w:cs="Times New Roman"/>
                <w:lang w:eastAsia="zh-CN"/>
              </w:rPr>
            </w:pPr>
            <w:r>
              <w:rPr>
                <w:rFonts w:ascii="Times New Roman" w:hAnsi="Times New Roman" w:eastAsia="仿宋_GB2312" w:cs="Times New Roman"/>
                <w:spacing w:val="3"/>
                <w:lang w:eastAsia="zh-CN"/>
              </w:rPr>
              <w:t>（2）具有良好的商业信誉和健全的财务会计制</w:t>
            </w:r>
            <w:r>
              <w:rPr>
                <w:rFonts w:ascii="Times New Roman" w:hAnsi="Times New Roman" w:eastAsia="仿宋_GB2312" w:cs="Times New Roman"/>
                <w:spacing w:val="2"/>
                <w:lang w:eastAsia="zh-CN"/>
              </w:rPr>
              <w:t>度，须提供</w:t>
            </w:r>
            <w:r>
              <w:rPr>
                <w:rFonts w:ascii="Times New Roman" w:hAnsi="Times New Roman" w:eastAsia="仿宋_GB2312" w:cs="Times New Roman"/>
                <w:spacing w:val="1"/>
                <w:lang w:eastAsia="zh-CN"/>
              </w:rPr>
              <w:t>会计事务所出具的</w:t>
            </w:r>
            <w:r>
              <w:rPr>
                <w:rFonts w:ascii="Times New Roman" w:hAnsi="Times New Roman" w:eastAsia="仿宋_GB2312" w:cs="Times New Roman"/>
                <w:color w:val="FF0000"/>
                <w:spacing w:val="1"/>
                <w:lang w:eastAsia="zh-CN"/>
              </w:rPr>
              <w:t>202</w:t>
            </w:r>
            <w:r>
              <w:rPr>
                <w:rFonts w:hint="eastAsia" w:ascii="Times New Roman" w:hAnsi="Times New Roman" w:eastAsia="仿宋_GB2312" w:cs="Times New Roman"/>
                <w:color w:val="FF0000"/>
                <w:spacing w:val="1"/>
                <w:lang w:val="en-US" w:eastAsia="zh-CN"/>
              </w:rPr>
              <w:t>4</w:t>
            </w:r>
            <w:r>
              <w:rPr>
                <w:rFonts w:ascii="Times New Roman" w:hAnsi="Times New Roman" w:eastAsia="仿宋_GB2312" w:cs="Times New Roman"/>
                <w:color w:val="FF0000"/>
                <w:spacing w:val="1"/>
                <w:lang w:eastAsia="zh-CN"/>
              </w:rPr>
              <w:t>年度</w:t>
            </w:r>
            <w:r>
              <w:rPr>
                <w:rFonts w:ascii="Times New Roman" w:hAnsi="Times New Roman" w:eastAsia="仿宋_GB2312" w:cs="Times New Roman"/>
                <w:spacing w:val="1"/>
                <w:lang w:eastAsia="zh-CN"/>
              </w:rPr>
              <w:t>财务审计报告（公司成立时间</w:t>
            </w:r>
            <w:r>
              <w:rPr>
                <w:rFonts w:ascii="Times New Roman" w:hAnsi="Times New Roman" w:eastAsia="仿宋_GB2312" w:cs="Times New Roman"/>
                <w:spacing w:val="-1"/>
                <w:lang w:eastAsia="zh-CN"/>
              </w:rPr>
              <w:t>不足一年的需提供资信证明）。</w:t>
            </w:r>
          </w:p>
          <w:p w14:paraId="0896CF9D">
            <w:pPr>
              <w:pStyle w:val="19"/>
              <w:spacing w:before="31" w:line="234" w:lineRule="auto"/>
              <w:ind w:left="119" w:right="114" w:hanging="10"/>
              <w:jc w:val="both"/>
              <w:rPr>
                <w:rFonts w:ascii="Times New Roman" w:hAnsi="Times New Roman" w:eastAsia="仿宋_GB2312" w:cs="Times New Roman"/>
                <w:lang w:eastAsia="zh-CN"/>
              </w:rPr>
            </w:pPr>
            <w:r>
              <w:rPr>
                <w:rFonts w:ascii="Times New Roman" w:hAnsi="Times New Roman" w:eastAsia="仿宋_GB2312" w:cs="Times New Roman"/>
                <w:spacing w:val="3"/>
                <w:lang w:eastAsia="zh-CN"/>
              </w:rPr>
              <w:t>（3）有依法缴纳税收和社会保障资金的良好记</w:t>
            </w:r>
            <w:r>
              <w:rPr>
                <w:rFonts w:ascii="Times New Roman" w:hAnsi="Times New Roman" w:eastAsia="仿宋_GB2312" w:cs="Times New Roman"/>
                <w:spacing w:val="2"/>
                <w:lang w:eastAsia="zh-CN"/>
              </w:rPr>
              <w:t>录，须提供</w:t>
            </w:r>
            <w:r>
              <w:rPr>
                <w:rFonts w:ascii="Times New Roman" w:hAnsi="Times New Roman" w:eastAsia="仿宋_GB2312" w:cs="Times New Roman"/>
                <w:spacing w:val="-2"/>
                <w:lang w:eastAsia="zh-CN"/>
              </w:rPr>
              <w:t>单位</w:t>
            </w:r>
            <w:r>
              <w:rPr>
                <w:rFonts w:hint="eastAsia" w:ascii="Times New Roman" w:hAnsi="Times New Roman" w:eastAsia="仿宋_GB2312" w:cs="Times New Roman"/>
                <w:color w:val="FF0000"/>
                <w:spacing w:val="-2"/>
                <w:lang w:val="en-US" w:eastAsia="zh-CN"/>
              </w:rPr>
              <w:t>2024年</w:t>
            </w:r>
            <w:r>
              <w:rPr>
                <w:rFonts w:ascii="Times New Roman" w:hAnsi="Times New Roman" w:eastAsia="仿宋_GB2312" w:cs="Times New Roman"/>
                <w:spacing w:val="-2"/>
                <w:lang w:eastAsia="zh-CN"/>
              </w:rPr>
              <w:t>依法缴纳税收和依法缴</w:t>
            </w:r>
            <w:r>
              <w:rPr>
                <w:rFonts w:ascii="Times New Roman" w:hAnsi="Times New Roman" w:eastAsia="仿宋_GB2312" w:cs="Times New Roman"/>
                <w:spacing w:val="-3"/>
                <w:lang w:eastAsia="zh-CN"/>
              </w:rPr>
              <w:t>纳社会保</w:t>
            </w:r>
            <w:r>
              <w:rPr>
                <w:rFonts w:ascii="Times New Roman" w:hAnsi="Times New Roman" w:eastAsia="仿宋_GB2312" w:cs="Times New Roman"/>
                <w:spacing w:val="-2"/>
                <w:lang w:eastAsia="zh-CN"/>
              </w:rPr>
              <w:t>险的凭据；依法免税或不需要缴纳社会保障资金</w:t>
            </w:r>
            <w:r>
              <w:rPr>
                <w:rFonts w:ascii="Times New Roman" w:hAnsi="Times New Roman" w:eastAsia="仿宋_GB2312" w:cs="Times New Roman"/>
                <w:spacing w:val="-3"/>
                <w:lang w:eastAsia="zh-CN"/>
              </w:rPr>
              <w:t>的投标人，</w:t>
            </w:r>
            <w:r>
              <w:rPr>
                <w:rFonts w:ascii="Times New Roman" w:hAnsi="Times New Roman" w:eastAsia="仿宋_GB2312" w:cs="Times New Roman"/>
                <w:spacing w:val="-2"/>
                <w:lang w:eastAsia="zh-CN"/>
              </w:rPr>
              <w:t>应提供相应证明文件。</w:t>
            </w:r>
          </w:p>
          <w:p w14:paraId="16168151">
            <w:pPr>
              <w:pStyle w:val="19"/>
              <w:spacing w:before="34" w:line="235" w:lineRule="auto"/>
              <w:ind w:left="109" w:right="114"/>
              <w:jc w:val="both"/>
              <w:rPr>
                <w:rFonts w:ascii="Times New Roman" w:hAnsi="Times New Roman" w:eastAsia="仿宋_GB2312" w:cs="Times New Roman"/>
                <w:lang w:eastAsia="zh-CN"/>
              </w:rPr>
            </w:pPr>
            <w:r>
              <w:rPr>
                <w:rFonts w:ascii="Times New Roman" w:hAnsi="Times New Roman" w:eastAsia="仿宋_GB2312" w:cs="Times New Roman"/>
                <w:spacing w:val="3"/>
                <w:lang w:eastAsia="zh-CN"/>
              </w:rPr>
              <w:t>（4）具备履行合同所必需的设备和专业技术能</w:t>
            </w:r>
            <w:r>
              <w:rPr>
                <w:rFonts w:ascii="Times New Roman" w:hAnsi="Times New Roman" w:eastAsia="仿宋_GB2312" w:cs="Times New Roman"/>
                <w:spacing w:val="2"/>
                <w:lang w:eastAsia="zh-CN"/>
              </w:rPr>
              <w:t>力，须提供</w:t>
            </w:r>
            <w:r>
              <w:rPr>
                <w:rFonts w:ascii="Times New Roman" w:hAnsi="Times New Roman" w:eastAsia="仿宋_GB2312" w:cs="Times New Roman"/>
                <w:spacing w:val="-2"/>
                <w:lang w:eastAsia="zh-CN"/>
              </w:rPr>
              <w:t>投标人具有履行合同所必需的设备和专业技术能力承诺书。</w:t>
            </w:r>
            <w:r>
              <w:rPr>
                <w:rFonts w:ascii="Times New Roman" w:hAnsi="Times New Roman" w:eastAsia="仿宋_GB2312" w:cs="Times New Roman"/>
                <w:spacing w:val="1"/>
                <w:lang w:eastAsia="zh-CN"/>
              </w:rPr>
              <w:t>（5）参加政府采购活动近3年内在经营活动中没有重大违</w:t>
            </w:r>
            <w:r>
              <w:rPr>
                <w:rFonts w:ascii="Times New Roman" w:hAnsi="Times New Roman" w:eastAsia="仿宋_GB2312" w:cs="Times New Roman"/>
                <w:spacing w:val="-4"/>
                <w:lang w:eastAsia="zh-CN"/>
              </w:rPr>
              <w:t>法记录，须提供参加政府采购活动近3年内，在经营活动中</w:t>
            </w:r>
            <w:r>
              <w:rPr>
                <w:rFonts w:ascii="Times New Roman" w:hAnsi="Times New Roman" w:eastAsia="仿宋_GB2312" w:cs="Times New Roman"/>
                <w:spacing w:val="-1"/>
                <w:lang w:eastAsia="zh-CN"/>
              </w:rPr>
              <w:t>没有重大违法记录的书面声明。</w:t>
            </w:r>
          </w:p>
          <w:p w14:paraId="09AA8365">
            <w:pPr>
              <w:pStyle w:val="19"/>
              <w:spacing w:before="29" w:line="216" w:lineRule="auto"/>
              <w:ind w:left="109"/>
              <w:rPr>
                <w:rFonts w:ascii="Times New Roman" w:hAnsi="Times New Roman" w:eastAsia="仿宋_GB2312" w:cs="Times New Roman"/>
                <w:lang w:eastAsia="zh-CN"/>
              </w:rPr>
            </w:pPr>
            <w:r>
              <w:rPr>
                <w:rFonts w:ascii="Times New Roman" w:hAnsi="Times New Roman" w:eastAsia="仿宋_GB2312" w:cs="Times New Roman"/>
                <w:spacing w:val="-1"/>
                <w:lang w:eastAsia="zh-CN"/>
              </w:rPr>
              <w:t>（6）具备法律、行政法规规定的其他条件。</w:t>
            </w:r>
          </w:p>
          <w:p w14:paraId="1AFA6B73">
            <w:pPr>
              <w:pStyle w:val="19"/>
              <w:spacing w:before="7" w:line="238" w:lineRule="auto"/>
              <w:ind w:left="109" w:firstLine="23"/>
              <w:jc w:val="both"/>
              <w:rPr>
                <w:rFonts w:ascii="Times New Roman" w:hAnsi="Times New Roman" w:eastAsia="仿宋_GB2312" w:cs="Times New Roman"/>
                <w:spacing w:val="-2"/>
                <w:lang w:eastAsia="zh-CN"/>
              </w:rPr>
            </w:pPr>
            <w:r>
              <w:rPr>
                <w:rFonts w:hint="eastAsia" w:ascii="Times New Roman" w:hAnsi="Times New Roman" w:eastAsia="仿宋_GB2312" w:cs="Times New Roman"/>
                <w:spacing w:val="-2"/>
                <w:lang w:eastAsia="zh-CN"/>
              </w:rPr>
              <w:t>2</w:t>
            </w:r>
            <w:r>
              <w:rPr>
                <w:rFonts w:ascii="Times New Roman" w:hAnsi="Times New Roman" w:eastAsia="仿宋_GB2312" w:cs="Times New Roman"/>
                <w:spacing w:val="-2"/>
                <w:lang w:eastAsia="zh-CN"/>
              </w:rPr>
              <w:t>、投标人应通过“信用中国（</w:t>
            </w:r>
            <w:r>
              <w:fldChar w:fldCharType="begin"/>
            </w:r>
            <w:r>
              <w:instrText xml:space="preserve"> HYPERLINK </w:instrText>
            </w:r>
            <w:r>
              <w:fldChar w:fldCharType="separate"/>
            </w:r>
            <w:r>
              <w:rPr>
                <w:rFonts w:ascii="Times New Roman" w:hAnsi="Times New Roman" w:eastAsia="仿宋_GB2312" w:cs="Times New Roman"/>
                <w:spacing w:val="-2"/>
                <w:lang w:eastAsia="zh-CN"/>
              </w:rPr>
              <w:t>www.creditchina.gov.cn）”</w:t>
            </w:r>
            <w:r>
              <w:rPr>
                <w:rFonts w:ascii="Times New Roman" w:hAnsi="Times New Roman" w:eastAsia="仿宋_GB2312" w:cs="Times New Roman"/>
                <w:spacing w:val="-2"/>
                <w:lang w:eastAsia="zh-CN"/>
              </w:rPr>
              <w:fldChar w:fldCharType="end"/>
            </w:r>
            <w:r>
              <w:rPr>
                <w:rFonts w:ascii="Times New Roman" w:hAnsi="Times New Roman" w:eastAsia="仿宋_GB2312" w:cs="Times New Roman"/>
                <w:lang w:eastAsia="zh-CN"/>
              </w:rPr>
              <w:t xml:space="preserve"> </w:t>
            </w:r>
            <w:r>
              <w:rPr>
                <w:rFonts w:ascii="Times New Roman" w:hAnsi="Times New Roman" w:eastAsia="仿宋_GB2312" w:cs="Times New Roman"/>
                <w:spacing w:val="-2"/>
                <w:lang w:eastAsia="zh-CN"/>
              </w:rPr>
              <w:t>查询“失信被执行人、重大税收违法案件当事人名单、政府</w:t>
            </w:r>
            <w:r>
              <w:rPr>
                <w:rFonts w:ascii="Times New Roman" w:hAnsi="Times New Roman" w:eastAsia="仿宋_GB2312" w:cs="Times New Roman"/>
                <w:lang w:eastAsia="zh-CN"/>
              </w:rPr>
              <w:t xml:space="preserve">  </w:t>
            </w:r>
            <w:r>
              <w:rPr>
                <w:rFonts w:ascii="Times New Roman" w:hAnsi="Times New Roman" w:eastAsia="仿宋_GB2312" w:cs="Times New Roman"/>
                <w:spacing w:val="12"/>
                <w:lang w:eastAsia="zh-CN"/>
              </w:rPr>
              <w:t>采购严重违法失信行为记录名单”和“中国政</w:t>
            </w:r>
            <w:r>
              <w:rPr>
                <w:rFonts w:ascii="Times New Roman" w:hAnsi="Times New Roman" w:eastAsia="仿宋_GB2312" w:cs="Times New Roman"/>
                <w:spacing w:val="11"/>
                <w:lang w:eastAsia="zh-CN"/>
              </w:rPr>
              <w:t>府采购网</w:t>
            </w:r>
            <w:r>
              <w:rPr>
                <w:rFonts w:ascii="Times New Roman" w:hAnsi="Times New Roman" w:eastAsia="仿宋_GB2312" w:cs="Times New Roman"/>
                <w:lang w:eastAsia="zh-CN"/>
              </w:rPr>
              <w:t xml:space="preserve">  </w:t>
            </w:r>
            <w:r>
              <w:rPr>
                <w:rFonts w:ascii="Times New Roman" w:hAnsi="Times New Roman" w:eastAsia="仿宋_GB2312" w:cs="Times New Roman"/>
                <w:spacing w:val="1"/>
                <w:lang w:eastAsia="zh-CN"/>
              </w:rPr>
              <w:t>（</w:t>
            </w:r>
            <w:r>
              <w:rPr>
                <w:rFonts w:ascii="Times New Roman" w:hAnsi="Times New Roman" w:eastAsia="仿宋_GB2312" w:cs="Times New Roman"/>
                <w:lang w:eastAsia="zh-CN"/>
              </w:rPr>
              <w:t>www</w:t>
            </w:r>
            <w:r>
              <w:rPr>
                <w:rFonts w:ascii="Times New Roman" w:hAnsi="Times New Roman" w:eastAsia="仿宋_GB2312" w:cs="Times New Roman"/>
                <w:spacing w:val="1"/>
                <w:lang w:eastAsia="zh-CN"/>
              </w:rPr>
              <w:t>.</w:t>
            </w:r>
            <w:r>
              <w:rPr>
                <w:rFonts w:ascii="Times New Roman" w:hAnsi="Times New Roman" w:eastAsia="仿宋_GB2312" w:cs="Times New Roman"/>
                <w:lang w:eastAsia="zh-CN"/>
              </w:rPr>
              <w:t>ccgp</w:t>
            </w:r>
            <w:r>
              <w:rPr>
                <w:rFonts w:ascii="Times New Roman" w:hAnsi="Times New Roman" w:eastAsia="仿宋_GB2312" w:cs="Times New Roman"/>
                <w:spacing w:val="1"/>
                <w:lang w:eastAsia="zh-CN"/>
              </w:rPr>
              <w:t>.</w:t>
            </w:r>
            <w:r>
              <w:rPr>
                <w:rFonts w:ascii="Times New Roman" w:hAnsi="Times New Roman" w:eastAsia="仿宋_GB2312" w:cs="Times New Roman"/>
                <w:lang w:eastAsia="zh-CN"/>
              </w:rPr>
              <w:t>gov</w:t>
            </w:r>
            <w:r>
              <w:rPr>
                <w:rFonts w:ascii="Times New Roman" w:hAnsi="Times New Roman" w:eastAsia="仿宋_GB2312" w:cs="Times New Roman"/>
                <w:spacing w:val="1"/>
                <w:lang w:eastAsia="zh-CN"/>
              </w:rPr>
              <w:t>.</w:t>
            </w:r>
            <w:r>
              <w:rPr>
                <w:rFonts w:ascii="Times New Roman" w:hAnsi="Times New Roman" w:eastAsia="仿宋_GB2312" w:cs="Times New Roman"/>
                <w:lang w:eastAsia="zh-CN"/>
              </w:rPr>
              <w:t>cn</w:t>
            </w:r>
            <w:r>
              <w:rPr>
                <w:rFonts w:ascii="Times New Roman" w:hAnsi="Times New Roman" w:eastAsia="仿宋_GB2312" w:cs="Times New Roman"/>
                <w:spacing w:val="1"/>
                <w:lang w:eastAsia="zh-CN"/>
              </w:rPr>
              <w:t>）”查询“政府采购严重违法失信行为</w:t>
            </w:r>
            <w:r>
              <w:rPr>
                <w:rFonts w:ascii="Times New Roman" w:hAnsi="Times New Roman" w:eastAsia="仿宋_GB2312" w:cs="Times New Roman"/>
                <w:lang w:eastAsia="zh-CN"/>
              </w:rPr>
              <w:t xml:space="preserve">  </w:t>
            </w:r>
            <w:r>
              <w:rPr>
                <w:rFonts w:ascii="Times New Roman" w:hAnsi="Times New Roman" w:eastAsia="仿宋_GB2312" w:cs="Times New Roman"/>
                <w:spacing w:val="-2"/>
                <w:lang w:eastAsia="zh-CN"/>
              </w:rPr>
              <w:t>记录”进行信用查询，投标人需提供网页查询截图加盖单位公章。</w:t>
            </w:r>
          </w:p>
          <w:p w14:paraId="30E05F2E">
            <w:pPr>
              <w:pStyle w:val="19"/>
              <w:spacing w:before="7" w:line="238" w:lineRule="auto"/>
              <w:ind w:left="109" w:firstLine="23"/>
              <w:jc w:val="both"/>
              <w:rPr>
                <w:rFonts w:hint="eastAsia" w:ascii="Times New Roman" w:hAnsi="Times New Roman" w:eastAsia="仿宋_GB2312" w:cs="Times New Roman"/>
                <w:spacing w:val="-2"/>
                <w:lang w:eastAsia="zh-CN"/>
              </w:rPr>
            </w:pPr>
            <w:r>
              <w:rPr>
                <w:rFonts w:hint="eastAsia" w:ascii="Times New Roman" w:hAnsi="Times New Roman" w:eastAsia="仿宋_GB2312" w:cs="Times New Roman"/>
                <w:spacing w:val="-2"/>
                <w:lang w:eastAsia="zh-CN"/>
              </w:rPr>
              <w:t>3、投标人须提供法定代表人身份证明及法定代表人身份证 或法定代表人签名并加盖单位公章的授权委托书及被授权 人的身份证。</w:t>
            </w:r>
          </w:p>
          <w:p w14:paraId="017260E6">
            <w:pPr>
              <w:pStyle w:val="19"/>
              <w:spacing w:before="7" w:line="238" w:lineRule="auto"/>
              <w:ind w:left="109" w:firstLine="23"/>
              <w:jc w:val="both"/>
              <w:rPr>
                <w:rFonts w:ascii="Times New Roman" w:hAnsi="Times New Roman" w:eastAsia="仿宋_GB2312" w:cs="Times New Roman"/>
                <w:lang w:eastAsia="zh-CN"/>
              </w:rPr>
            </w:pPr>
            <w:r>
              <w:rPr>
                <w:rFonts w:hint="eastAsia" w:ascii="Times New Roman" w:hAnsi="Times New Roman" w:eastAsia="仿宋_GB2312" w:cs="Times New Roman"/>
                <w:spacing w:val="-2"/>
                <w:lang w:eastAsia="zh-CN"/>
              </w:rPr>
              <w:t>4、投标人中标后不允许分包或转包。</w:t>
            </w:r>
          </w:p>
        </w:tc>
      </w:tr>
    </w:tbl>
    <w:p w14:paraId="38519342">
      <w:pPr>
        <w:pStyle w:val="7"/>
        <w:rPr>
          <w:lang w:eastAsia="zh-CN"/>
        </w:rPr>
      </w:pPr>
    </w:p>
    <w:p w14:paraId="7C3B9CCC">
      <w:pPr>
        <w:spacing w:before="35"/>
        <w:rPr>
          <w:lang w:eastAsia="zh-CN"/>
        </w:rPr>
      </w:pPr>
    </w:p>
    <w:p w14:paraId="38117DDF">
      <w:pPr>
        <w:spacing w:before="34"/>
        <w:rPr>
          <w:lang w:eastAsia="zh-CN"/>
        </w:rPr>
      </w:pPr>
    </w:p>
    <w:tbl>
      <w:tblPr>
        <w:tblStyle w:val="18"/>
        <w:tblW w:w="883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2"/>
        <w:gridCol w:w="1602"/>
        <w:gridCol w:w="6417"/>
      </w:tblGrid>
      <w:tr w14:paraId="07C3553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76" w:hRule="atLeast"/>
        </w:trPr>
        <w:tc>
          <w:tcPr>
            <w:tcW w:w="812" w:type="dxa"/>
          </w:tcPr>
          <w:p w14:paraId="32421948">
            <w:pPr>
              <w:spacing w:line="255" w:lineRule="auto"/>
              <w:rPr>
                <w:lang w:eastAsia="zh-CN"/>
              </w:rPr>
            </w:pPr>
          </w:p>
          <w:p w14:paraId="04543E3D">
            <w:pPr>
              <w:spacing w:line="255" w:lineRule="auto"/>
              <w:rPr>
                <w:lang w:eastAsia="zh-CN"/>
              </w:rPr>
            </w:pPr>
          </w:p>
          <w:p w14:paraId="562DB845">
            <w:pPr>
              <w:spacing w:line="255" w:lineRule="auto"/>
              <w:rPr>
                <w:lang w:eastAsia="zh-CN"/>
              </w:rPr>
            </w:pPr>
          </w:p>
          <w:p w14:paraId="3BD75346">
            <w:pPr>
              <w:pStyle w:val="19"/>
              <w:spacing w:before="78" w:line="181" w:lineRule="auto"/>
              <w:ind w:left="396"/>
            </w:pPr>
            <w:r>
              <w:t>6</w:t>
            </w:r>
          </w:p>
        </w:tc>
        <w:tc>
          <w:tcPr>
            <w:tcW w:w="1602" w:type="dxa"/>
          </w:tcPr>
          <w:p w14:paraId="71775FC8">
            <w:pPr>
              <w:spacing w:line="283" w:lineRule="auto"/>
              <w:rPr>
                <w:lang w:eastAsia="zh-CN"/>
              </w:rPr>
            </w:pPr>
          </w:p>
          <w:p w14:paraId="6BF48119">
            <w:pPr>
              <w:spacing w:line="283" w:lineRule="auto"/>
              <w:rPr>
                <w:lang w:eastAsia="zh-CN"/>
              </w:rPr>
            </w:pPr>
          </w:p>
          <w:p w14:paraId="7905C5D1">
            <w:pPr>
              <w:pStyle w:val="19"/>
              <w:spacing w:before="78" w:line="238" w:lineRule="auto"/>
              <w:ind w:left="132" w:right="130" w:hanging="17"/>
              <w:rPr>
                <w:lang w:eastAsia="zh-CN"/>
              </w:rPr>
            </w:pPr>
            <w:r>
              <w:rPr>
                <w:spacing w:val="30"/>
                <w:lang w:eastAsia="zh-CN"/>
              </w:rPr>
              <w:t>投标人编制</w:t>
            </w:r>
            <w:r>
              <w:rPr>
                <w:lang w:eastAsia="zh-CN"/>
              </w:rPr>
              <w:t xml:space="preserve"> </w:t>
            </w:r>
            <w:r>
              <w:rPr>
                <w:spacing w:val="-7"/>
                <w:lang w:eastAsia="zh-CN"/>
              </w:rPr>
              <w:t>的投标文件</w:t>
            </w:r>
          </w:p>
        </w:tc>
        <w:tc>
          <w:tcPr>
            <w:tcW w:w="6417" w:type="dxa"/>
          </w:tcPr>
          <w:p w14:paraId="383FF07C">
            <w:pPr>
              <w:pStyle w:val="19"/>
              <w:spacing w:before="38" w:line="229" w:lineRule="auto"/>
              <w:ind w:left="109" w:right="1096" w:firstLine="7"/>
              <w:rPr>
                <w:lang w:eastAsia="zh-CN"/>
              </w:rPr>
            </w:pPr>
            <w:r>
              <w:rPr>
                <w:spacing w:val="-4"/>
                <w:lang w:eastAsia="zh-CN"/>
              </w:rPr>
              <w:t>投标人编制的投标文件应包括但不限于下列内容：</w:t>
            </w:r>
            <w:r>
              <w:rPr>
                <w:spacing w:val="5"/>
                <w:lang w:eastAsia="zh-CN"/>
              </w:rPr>
              <w:t xml:space="preserve"> </w:t>
            </w:r>
            <w:r>
              <w:rPr>
                <w:spacing w:val="-1"/>
                <w:lang w:eastAsia="zh-CN"/>
              </w:rPr>
              <w:t>（1）投标书；</w:t>
            </w:r>
          </w:p>
          <w:p w14:paraId="32CE270F">
            <w:pPr>
              <w:pStyle w:val="19"/>
              <w:spacing w:before="29" w:line="217" w:lineRule="auto"/>
              <w:ind w:left="109"/>
              <w:rPr>
                <w:lang w:eastAsia="zh-CN"/>
              </w:rPr>
            </w:pPr>
            <w:r>
              <w:rPr>
                <w:spacing w:val="-1"/>
                <w:lang w:eastAsia="zh-CN"/>
              </w:rPr>
              <w:t>（2）法人代表授权书；</w:t>
            </w:r>
          </w:p>
          <w:p w14:paraId="42AF42AB">
            <w:pPr>
              <w:pStyle w:val="19"/>
              <w:spacing w:before="29" w:line="217" w:lineRule="auto"/>
              <w:ind w:left="109"/>
              <w:rPr>
                <w:lang w:eastAsia="zh-CN"/>
              </w:rPr>
            </w:pPr>
            <w:r>
              <w:rPr>
                <w:spacing w:val="-1"/>
                <w:lang w:eastAsia="zh-CN"/>
              </w:rPr>
              <w:t>（3）投标资格证明文件；</w:t>
            </w:r>
          </w:p>
          <w:p w14:paraId="05286625">
            <w:pPr>
              <w:pStyle w:val="19"/>
              <w:spacing w:before="29" w:line="217" w:lineRule="auto"/>
              <w:ind w:left="109"/>
              <w:rPr>
                <w:lang w:eastAsia="zh-CN"/>
              </w:rPr>
            </w:pPr>
            <w:r>
              <w:rPr>
                <w:spacing w:val="-1"/>
                <w:lang w:eastAsia="zh-CN"/>
              </w:rPr>
              <w:t>（4）投标技术文件；</w:t>
            </w:r>
          </w:p>
          <w:p w14:paraId="6913174C">
            <w:pPr>
              <w:pStyle w:val="19"/>
              <w:spacing w:before="30" w:line="205" w:lineRule="auto"/>
              <w:ind w:left="109"/>
              <w:rPr>
                <w:lang w:eastAsia="zh-CN"/>
              </w:rPr>
            </w:pPr>
            <w:r>
              <w:rPr>
                <w:spacing w:val="-1"/>
                <w:lang w:eastAsia="zh-CN"/>
              </w:rPr>
              <w:t>（5）投标人认为的其他资料。</w:t>
            </w:r>
          </w:p>
        </w:tc>
      </w:tr>
      <w:tr w14:paraId="253992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12" w:type="dxa"/>
          </w:tcPr>
          <w:p w14:paraId="35F53101">
            <w:pPr>
              <w:pStyle w:val="19"/>
              <w:spacing w:before="286" w:line="178" w:lineRule="auto"/>
              <w:ind w:left="348"/>
            </w:pPr>
            <w:r>
              <w:t>7</w:t>
            </w:r>
          </w:p>
        </w:tc>
        <w:tc>
          <w:tcPr>
            <w:tcW w:w="1602" w:type="dxa"/>
          </w:tcPr>
          <w:p w14:paraId="7D55EC4B">
            <w:pPr>
              <w:pStyle w:val="19"/>
              <w:spacing w:before="251" w:line="217" w:lineRule="auto"/>
              <w:ind w:left="115"/>
            </w:pPr>
            <w:r>
              <w:rPr>
                <w:spacing w:val="-4"/>
              </w:rPr>
              <w:t>投标货币</w:t>
            </w:r>
          </w:p>
        </w:tc>
        <w:tc>
          <w:tcPr>
            <w:tcW w:w="6417" w:type="dxa"/>
          </w:tcPr>
          <w:p w14:paraId="3B17A3C3">
            <w:pPr>
              <w:pStyle w:val="19"/>
              <w:spacing w:before="251" w:line="217" w:lineRule="auto"/>
              <w:ind w:left="116"/>
            </w:pPr>
            <w:r>
              <w:rPr>
                <w:spacing w:val="-3"/>
              </w:rPr>
              <w:t>人民币。</w:t>
            </w:r>
          </w:p>
        </w:tc>
      </w:tr>
      <w:tr w14:paraId="540ABF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12" w:type="dxa"/>
          </w:tcPr>
          <w:p w14:paraId="603CBF19">
            <w:pPr>
              <w:pStyle w:val="19"/>
              <w:spacing w:before="284" w:line="181" w:lineRule="auto"/>
              <w:ind w:left="355"/>
            </w:pPr>
            <w:r>
              <w:t>8</w:t>
            </w:r>
          </w:p>
        </w:tc>
        <w:tc>
          <w:tcPr>
            <w:tcW w:w="1602" w:type="dxa"/>
          </w:tcPr>
          <w:p w14:paraId="2A99DD9D">
            <w:pPr>
              <w:pStyle w:val="19"/>
              <w:spacing w:before="253" w:line="217" w:lineRule="auto"/>
              <w:ind w:left="120"/>
            </w:pPr>
            <w:r>
              <w:rPr>
                <w:spacing w:val="-5"/>
              </w:rPr>
              <w:t>报价要求</w:t>
            </w:r>
          </w:p>
        </w:tc>
        <w:tc>
          <w:tcPr>
            <w:tcW w:w="6417" w:type="dxa"/>
          </w:tcPr>
          <w:p w14:paraId="083AB831">
            <w:pPr>
              <w:pStyle w:val="19"/>
              <w:spacing w:before="95" w:line="229" w:lineRule="auto"/>
              <w:ind w:left="126" w:right="108" w:hanging="2"/>
              <w:rPr>
                <w:lang w:eastAsia="zh-CN"/>
              </w:rPr>
            </w:pPr>
            <w:r>
              <w:rPr>
                <w:spacing w:val="-3"/>
                <w:lang w:eastAsia="zh-CN"/>
              </w:rPr>
              <w:t>综合服务价（包括人工、设备、管理、交通、物耗、培训等</w:t>
            </w:r>
            <w:r>
              <w:rPr>
                <w:spacing w:val="16"/>
                <w:lang w:eastAsia="zh-CN"/>
              </w:rPr>
              <w:t xml:space="preserve"> </w:t>
            </w:r>
            <w:r>
              <w:rPr>
                <w:spacing w:val="-2"/>
                <w:lang w:eastAsia="zh-CN"/>
              </w:rPr>
              <w:t>完成本项目采购内容所需的一切费用）。</w:t>
            </w:r>
          </w:p>
        </w:tc>
      </w:tr>
      <w:tr w14:paraId="7B5A2D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5" w:hRule="atLeast"/>
        </w:trPr>
        <w:tc>
          <w:tcPr>
            <w:tcW w:w="812" w:type="dxa"/>
          </w:tcPr>
          <w:p w14:paraId="7C3E5DD9">
            <w:pPr>
              <w:pStyle w:val="19"/>
              <w:spacing w:before="204" w:line="181" w:lineRule="auto"/>
              <w:ind w:left="357"/>
            </w:pPr>
            <w:r>
              <w:t>9</w:t>
            </w:r>
          </w:p>
        </w:tc>
        <w:tc>
          <w:tcPr>
            <w:tcW w:w="1602" w:type="dxa"/>
          </w:tcPr>
          <w:p w14:paraId="6BE3E4C2">
            <w:pPr>
              <w:pStyle w:val="19"/>
              <w:spacing w:before="172" w:line="218" w:lineRule="auto"/>
              <w:ind w:left="115"/>
            </w:pPr>
            <w:r>
              <w:rPr>
                <w:spacing w:val="-4"/>
              </w:rPr>
              <w:t>备选方案</w:t>
            </w:r>
          </w:p>
        </w:tc>
        <w:tc>
          <w:tcPr>
            <w:tcW w:w="6417" w:type="dxa"/>
          </w:tcPr>
          <w:p w14:paraId="78CA624D">
            <w:pPr>
              <w:pStyle w:val="19"/>
              <w:spacing w:before="172" w:line="218" w:lineRule="auto"/>
              <w:ind w:left="118"/>
            </w:pPr>
            <w:r>
              <w:rPr>
                <w:spacing w:val="-5"/>
              </w:rPr>
              <w:t>不接受</w:t>
            </w:r>
          </w:p>
        </w:tc>
      </w:tr>
      <w:tr w14:paraId="43855D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7" w:hRule="atLeast"/>
        </w:trPr>
        <w:tc>
          <w:tcPr>
            <w:tcW w:w="812" w:type="dxa"/>
          </w:tcPr>
          <w:p w14:paraId="7CF8C6EA">
            <w:pPr>
              <w:pStyle w:val="19"/>
              <w:spacing w:before="190" w:line="181" w:lineRule="auto"/>
              <w:ind w:left="313"/>
            </w:pPr>
            <w:r>
              <w:rPr>
                <w:spacing w:val="-13"/>
              </w:rPr>
              <w:t>10</w:t>
            </w:r>
          </w:p>
        </w:tc>
        <w:tc>
          <w:tcPr>
            <w:tcW w:w="1602" w:type="dxa"/>
          </w:tcPr>
          <w:p w14:paraId="649C5E47">
            <w:pPr>
              <w:pStyle w:val="19"/>
              <w:spacing w:before="158" w:line="218" w:lineRule="auto"/>
              <w:ind w:left="120"/>
            </w:pPr>
            <w:r>
              <w:rPr>
                <w:spacing w:val="-5"/>
              </w:rPr>
              <w:t>现场踏勘</w:t>
            </w:r>
          </w:p>
        </w:tc>
        <w:tc>
          <w:tcPr>
            <w:tcW w:w="6417" w:type="dxa"/>
          </w:tcPr>
          <w:p w14:paraId="32C1A430">
            <w:pPr>
              <w:pStyle w:val="19"/>
              <w:spacing w:before="159" w:line="220" w:lineRule="auto"/>
              <w:ind w:left="118"/>
            </w:pPr>
            <w:r>
              <w:rPr>
                <w:spacing w:val="-5"/>
              </w:rPr>
              <w:t>不组织</w:t>
            </w:r>
          </w:p>
        </w:tc>
      </w:tr>
      <w:tr w14:paraId="6CCE4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40" w:hRule="atLeast"/>
        </w:trPr>
        <w:tc>
          <w:tcPr>
            <w:tcW w:w="812" w:type="dxa"/>
          </w:tcPr>
          <w:p w14:paraId="5901E6DA">
            <w:pPr>
              <w:pStyle w:val="19"/>
              <w:spacing w:before="302" w:line="180" w:lineRule="auto"/>
              <w:ind w:left="308"/>
            </w:pPr>
            <w:r>
              <w:rPr>
                <w:spacing w:val="-13"/>
              </w:rPr>
              <w:t>11</w:t>
            </w:r>
          </w:p>
        </w:tc>
        <w:tc>
          <w:tcPr>
            <w:tcW w:w="1602" w:type="dxa"/>
          </w:tcPr>
          <w:p w14:paraId="3D3988BE">
            <w:pPr>
              <w:pStyle w:val="19"/>
              <w:spacing w:before="183" w:line="238" w:lineRule="auto"/>
              <w:ind w:left="118" w:right="106" w:hanging="3"/>
            </w:pPr>
            <w:r>
              <w:rPr>
                <w:spacing w:val="34"/>
              </w:rPr>
              <w:t>投标文件份</w:t>
            </w:r>
            <w:r>
              <w:t>数</w:t>
            </w:r>
          </w:p>
        </w:tc>
        <w:tc>
          <w:tcPr>
            <w:tcW w:w="6417" w:type="dxa"/>
          </w:tcPr>
          <w:p w14:paraId="6A8D435D">
            <w:pPr>
              <w:pStyle w:val="19"/>
              <w:spacing w:before="38" w:line="217" w:lineRule="auto"/>
              <w:ind w:left="121"/>
              <w:rPr>
                <w:lang w:eastAsia="zh-CN"/>
              </w:rPr>
            </w:pPr>
            <w:r>
              <w:rPr>
                <w:spacing w:val="-2"/>
                <w:lang w:eastAsia="zh-CN"/>
              </w:rPr>
              <w:t>正本壹份，副本贰份，电子版壹份</w:t>
            </w:r>
          </w:p>
          <w:p w14:paraId="02BA8E52">
            <w:pPr>
              <w:pStyle w:val="19"/>
              <w:spacing w:before="29" w:line="223" w:lineRule="auto"/>
              <w:ind w:left="117" w:right="108" w:firstLine="2"/>
              <w:rPr>
                <w:lang w:eastAsia="zh-CN"/>
              </w:rPr>
            </w:pPr>
            <w:r>
              <w:rPr>
                <w:spacing w:val="-2"/>
                <w:lang w:eastAsia="zh-CN"/>
              </w:rPr>
              <w:t>注：现场提交纸质文件、电子版文件，并请注明</w:t>
            </w:r>
            <w:r>
              <w:rPr>
                <w:spacing w:val="-3"/>
                <w:lang w:eastAsia="zh-CN"/>
              </w:rPr>
              <w:t>投标单位名</w:t>
            </w:r>
            <w:r>
              <w:rPr>
                <w:lang w:eastAsia="zh-CN"/>
              </w:rPr>
              <w:t xml:space="preserve"> </w:t>
            </w:r>
            <w:r>
              <w:rPr>
                <w:spacing w:val="-1"/>
                <w:lang w:eastAsia="zh-CN"/>
              </w:rPr>
              <w:t>称，所有投标文件概不退还。</w:t>
            </w:r>
          </w:p>
        </w:tc>
      </w:tr>
      <w:tr w14:paraId="6D8402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1" w:hRule="atLeast"/>
        </w:trPr>
        <w:tc>
          <w:tcPr>
            <w:tcW w:w="812" w:type="dxa"/>
          </w:tcPr>
          <w:p w14:paraId="5C5AAD11">
            <w:pPr>
              <w:pStyle w:val="19"/>
              <w:spacing w:before="223" w:line="180" w:lineRule="auto"/>
              <w:ind w:left="308"/>
            </w:pPr>
            <w:r>
              <w:rPr>
                <w:spacing w:val="-13"/>
              </w:rPr>
              <w:t>12</w:t>
            </w:r>
          </w:p>
        </w:tc>
        <w:tc>
          <w:tcPr>
            <w:tcW w:w="1602" w:type="dxa"/>
          </w:tcPr>
          <w:p w14:paraId="376395BA">
            <w:pPr>
              <w:pStyle w:val="19"/>
              <w:spacing w:before="53" w:line="239" w:lineRule="auto"/>
              <w:ind w:left="130" w:right="106" w:hanging="15"/>
            </w:pPr>
            <w:r>
              <w:rPr>
                <w:spacing w:val="34"/>
              </w:rPr>
              <w:t>投标文件的</w:t>
            </w:r>
            <w:r>
              <w:rPr>
                <w:spacing w:val="-15"/>
              </w:rPr>
              <w:t>密封</w:t>
            </w:r>
          </w:p>
        </w:tc>
        <w:tc>
          <w:tcPr>
            <w:tcW w:w="6417" w:type="dxa"/>
          </w:tcPr>
          <w:p w14:paraId="4F4EAA2F">
            <w:pPr>
              <w:pStyle w:val="19"/>
              <w:spacing w:before="114" w:line="229" w:lineRule="auto"/>
              <w:ind w:left="117" w:right="108"/>
              <w:rPr>
                <w:lang w:eastAsia="zh-CN"/>
              </w:rPr>
            </w:pPr>
            <w:r>
              <w:rPr>
                <w:spacing w:val="-2"/>
                <w:lang w:eastAsia="zh-CN"/>
              </w:rPr>
              <w:t>投标文件必须胶装、密封，并在密封件启封处加盖公</w:t>
            </w:r>
            <w:r>
              <w:rPr>
                <w:spacing w:val="-3"/>
                <w:lang w:eastAsia="zh-CN"/>
              </w:rPr>
              <w:t>章，否</w:t>
            </w:r>
            <w:r>
              <w:rPr>
                <w:lang w:eastAsia="zh-CN"/>
              </w:rPr>
              <w:t xml:space="preserve"> </w:t>
            </w:r>
            <w:r>
              <w:rPr>
                <w:spacing w:val="-2"/>
                <w:lang w:eastAsia="zh-CN"/>
              </w:rPr>
              <w:t>则按废标处理；</w:t>
            </w:r>
          </w:p>
        </w:tc>
      </w:tr>
      <w:tr w14:paraId="793BA6A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12" w:type="dxa"/>
          </w:tcPr>
          <w:p w14:paraId="5A3B88C5">
            <w:pPr>
              <w:pStyle w:val="19"/>
              <w:spacing w:before="285" w:line="181" w:lineRule="auto"/>
              <w:ind w:left="328"/>
            </w:pPr>
            <w:r>
              <w:rPr>
                <w:spacing w:val="-13"/>
              </w:rPr>
              <w:t>13</w:t>
            </w:r>
          </w:p>
        </w:tc>
        <w:tc>
          <w:tcPr>
            <w:tcW w:w="1602" w:type="dxa"/>
          </w:tcPr>
          <w:p w14:paraId="56EB4A54">
            <w:pPr>
              <w:pStyle w:val="19"/>
              <w:spacing w:before="84" w:line="238" w:lineRule="auto"/>
              <w:ind w:left="137" w:right="106" w:hanging="22"/>
            </w:pPr>
            <w:r>
              <w:rPr>
                <w:spacing w:val="34"/>
              </w:rPr>
              <w:t>投标截止时</w:t>
            </w:r>
            <w:r>
              <w:rPr>
                <w:spacing w:val="-9"/>
              </w:rPr>
              <w:t>间及地点</w:t>
            </w:r>
          </w:p>
        </w:tc>
        <w:tc>
          <w:tcPr>
            <w:tcW w:w="6417" w:type="dxa"/>
          </w:tcPr>
          <w:p w14:paraId="46D97484">
            <w:pPr>
              <w:pStyle w:val="19"/>
              <w:spacing w:before="98" w:line="217" w:lineRule="auto"/>
              <w:ind w:left="136"/>
              <w:rPr>
                <w:highlight w:val="yellow"/>
                <w:lang w:eastAsia="zh-CN"/>
              </w:rPr>
            </w:pPr>
            <w:r>
              <w:rPr>
                <w:spacing w:val="-10"/>
                <w:lang w:eastAsia="zh-CN"/>
              </w:rPr>
              <w:t>时间：</w:t>
            </w:r>
            <w:r>
              <w:rPr>
                <w:rFonts w:hint="eastAsia"/>
                <w:spacing w:val="-10"/>
                <w:highlight w:val="yellow"/>
                <w:lang w:eastAsia="zh-CN"/>
              </w:rPr>
              <w:t>202</w:t>
            </w:r>
            <w:r>
              <w:rPr>
                <w:rFonts w:hint="eastAsia"/>
                <w:spacing w:val="-10"/>
                <w:highlight w:val="yellow"/>
                <w:lang w:val="en-US" w:eastAsia="zh-CN"/>
              </w:rPr>
              <w:t>5</w:t>
            </w:r>
            <w:r>
              <w:rPr>
                <w:spacing w:val="-10"/>
                <w:highlight w:val="yellow"/>
                <w:lang w:eastAsia="zh-CN"/>
              </w:rPr>
              <w:t>年</w:t>
            </w:r>
            <w:r>
              <w:rPr>
                <w:rFonts w:hint="eastAsia"/>
                <w:spacing w:val="-35"/>
                <w:highlight w:val="yellow"/>
                <w:lang w:val="en-US" w:eastAsia="zh-CN"/>
              </w:rPr>
              <w:t>5</w:t>
            </w:r>
            <w:r>
              <w:rPr>
                <w:spacing w:val="-10"/>
                <w:highlight w:val="yellow"/>
                <w:lang w:eastAsia="zh-CN"/>
              </w:rPr>
              <w:t>月</w:t>
            </w:r>
            <w:r>
              <w:rPr>
                <w:rFonts w:hint="eastAsia"/>
                <w:spacing w:val="-41"/>
                <w:highlight w:val="yellow"/>
                <w:lang w:val="en-US" w:eastAsia="zh-CN"/>
              </w:rPr>
              <w:t>14</w:t>
            </w:r>
            <w:r>
              <w:rPr>
                <w:spacing w:val="-10"/>
                <w:highlight w:val="yellow"/>
                <w:lang w:eastAsia="zh-CN"/>
              </w:rPr>
              <w:t>日</w:t>
            </w:r>
            <w:r>
              <w:rPr>
                <w:rFonts w:hint="eastAsia"/>
                <w:spacing w:val="-10"/>
                <w:highlight w:val="yellow"/>
                <w:lang w:val="en-US" w:eastAsia="zh-CN"/>
              </w:rPr>
              <w:t>16</w:t>
            </w:r>
            <w:r>
              <w:rPr>
                <w:spacing w:val="-10"/>
                <w:highlight w:val="yellow"/>
                <w:lang w:eastAsia="zh-CN"/>
              </w:rPr>
              <w:t>时</w:t>
            </w:r>
            <w:r>
              <w:rPr>
                <w:rFonts w:hint="eastAsia"/>
                <w:spacing w:val="-10"/>
                <w:highlight w:val="yellow"/>
                <w:lang w:val="en-US" w:eastAsia="zh-CN"/>
              </w:rPr>
              <w:t>00</w:t>
            </w:r>
            <w:r>
              <w:rPr>
                <w:spacing w:val="-10"/>
                <w:highlight w:val="yellow"/>
                <w:lang w:eastAsia="zh-CN"/>
              </w:rPr>
              <w:t>分</w:t>
            </w:r>
            <w:r>
              <w:rPr>
                <w:spacing w:val="-11"/>
                <w:highlight w:val="yellow"/>
                <w:lang w:eastAsia="zh-CN"/>
              </w:rPr>
              <w:t>（北京时间）</w:t>
            </w:r>
          </w:p>
          <w:p w14:paraId="127B0EDA">
            <w:pPr>
              <w:pStyle w:val="19"/>
              <w:spacing w:before="30" w:line="216" w:lineRule="auto"/>
              <w:ind w:left="112"/>
              <w:rPr>
                <w:lang w:eastAsia="zh-CN"/>
              </w:rPr>
            </w:pPr>
            <w:r>
              <w:rPr>
                <w:spacing w:val="-1"/>
                <w:lang w:eastAsia="zh-CN"/>
              </w:rPr>
              <w:t>地点：信阳市生态环境局</w:t>
            </w:r>
          </w:p>
        </w:tc>
      </w:tr>
      <w:tr w14:paraId="0661E7A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812" w:type="dxa"/>
          </w:tcPr>
          <w:p w14:paraId="36F7F487">
            <w:pPr>
              <w:pStyle w:val="19"/>
              <w:spacing w:before="284" w:line="180" w:lineRule="auto"/>
              <w:ind w:left="337"/>
            </w:pPr>
            <w:r>
              <w:rPr>
                <w:spacing w:val="-13"/>
              </w:rPr>
              <w:t>14</w:t>
            </w:r>
          </w:p>
        </w:tc>
        <w:tc>
          <w:tcPr>
            <w:tcW w:w="1602" w:type="dxa"/>
          </w:tcPr>
          <w:p w14:paraId="5522D90C">
            <w:pPr>
              <w:pStyle w:val="19"/>
              <w:spacing w:before="84" w:line="239" w:lineRule="auto"/>
              <w:ind w:left="111" w:right="106" w:firstLine="9"/>
            </w:pPr>
            <w:r>
              <w:rPr>
                <w:spacing w:val="34"/>
              </w:rPr>
              <w:t>开标时间及</w:t>
            </w:r>
            <w:r>
              <w:rPr>
                <w:spacing w:val="-4"/>
              </w:rPr>
              <w:t>地点</w:t>
            </w:r>
          </w:p>
        </w:tc>
        <w:tc>
          <w:tcPr>
            <w:tcW w:w="6417" w:type="dxa"/>
          </w:tcPr>
          <w:p w14:paraId="065C54E9">
            <w:pPr>
              <w:pStyle w:val="19"/>
              <w:spacing w:before="97" w:line="217" w:lineRule="auto"/>
              <w:ind w:left="136"/>
              <w:rPr>
                <w:highlight w:val="yellow"/>
                <w:lang w:eastAsia="zh-CN"/>
              </w:rPr>
            </w:pPr>
            <w:r>
              <w:rPr>
                <w:spacing w:val="-11"/>
                <w:lang w:eastAsia="zh-CN"/>
              </w:rPr>
              <w:t>时间：</w:t>
            </w:r>
            <w:r>
              <w:rPr>
                <w:rFonts w:hint="eastAsia"/>
                <w:spacing w:val="-11"/>
                <w:highlight w:val="yellow"/>
                <w:lang w:eastAsia="zh-CN"/>
              </w:rPr>
              <w:t>202</w:t>
            </w:r>
            <w:r>
              <w:rPr>
                <w:rFonts w:hint="eastAsia"/>
                <w:spacing w:val="-11"/>
                <w:highlight w:val="yellow"/>
                <w:lang w:val="en-US" w:eastAsia="zh-CN"/>
              </w:rPr>
              <w:t>5</w:t>
            </w:r>
            <w:r>
              <w:rPr>
                <w:spacing w:val="-11"/>
                <w:highlight w:val="yellow"/>
                <w:lang w:eastAsia="zh-CN"/>
              </w:rPr>
              <w:t>年</w:t>
            </w:r>
            <w:r>
              <w:rPr>
                <w:rFonts w:hint="eastAsia"/>
                <w:spacing w:val="-36"/>
                <w:highlight w:val="yellow"/>
                <w:lang w:val="en-US" w:eastAsia="zh-CN"/>
              </w:rPr>
              <w:t>5</w:t>
            </w:r>
            <w:r>
              <w:rPr>
                <w:spacing w:val="-11"/>
                <w:highlight w:val="yellow"/>
                <w:lang w:eastAsia="zh-CN"/>
              </w:rPr>
              <w:t>月</w:t>
            </w:r>
            <w:r>
              <w:rPr>
                <w:rFonts w:hint="eastAsia"/>
                <w:spacing w:val="-32"/>
                <w:highlight w:val="yellow"/>
                <w:lang w:val="en-US" w:eastAsia="zh-CN"/>
              </w:rPr>
              <w:t>15</w:t>
            </w:r>
            <w:r>
              <w:rPr>
                <w:spacing w:val="-11"/>
                <w:highlight w:val="yellow"/>
                <w:lang w:eastAsia="zh-CN"/>
              </w:rPr>
              <w:t>日</w:t>
            </w:r>
            <w:r>
              <w:rPr>
                <w:rFonts w:hint="eastAsia"/>
                <w:spacing w:val="-36"/>
                <w:highlight w:val="yellow"/>
                <w:lang w:val="en-US" w:eastAsia="zh-CN"/>
              </w:rPr>
              <w:t>16</w:t>
            </w:r>
            <w:r>
              <w:rPr>
                <w:spacing w:val="-11"/>
                <w:highlight w:val="yellow"/>
                <w:lang w:eastAsia="zh-CN"/>
              </w:rPr>
              <w:t>时</w:t>
            </w:r>
            <w:r>
              <w:rPr>
                <w:rFonts w:hint="eastAsia"/>
                <w:spacing w:val="-34"/>
                <w:highlight w:val="yellow"/>
                <w:lang w:val="en-US" w:eastAsia="zh-CN"/>
              </w:rPr>
              <w:t>00</w:t>
            </w:r>
            <w:r>
              <w:rPr>
                <w:spacing w:val="-11"/>
                <w:highlight w:val="yellow"/>
                <w:lang w:eastAsia="zh-CN"/>
              </w:rPr>
              <w:t>分（北京时间）</w:t>
            </w:r>
          </w:p>
          <w:p w14:paraId="7FAB33F8">
            <w:pPr>
              <w:pStyle w:val="19"/>
              <w:spacing w:before="30" w:line="216" w:lineRule="auto"/>
              <w:ind w:left="112"/>
              <w:rPr>
                <w:lang w:eastAsia="zh-CN"/>
              </w:rPr>
            </w:pPr>
            <w:r>
              <w:rPr>
                <w:spacing w:val="-1"/>
                <w:lang w:eastAsia="zh-CN"/>
              </w:rPr>
              <w:t>地点：信阳市生态环境局四楼会议室</w:t>
            </w:r>
          </w:p>
        </w:tc>
      </w:tr>
      <w:tr w14:paraId="6FCF4D1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10" w:hRule="atLeast"/>
        </w:trPr>
        <w:tc>
          <w:tcPr>
            <w:tcW w:w="812" w:type="dxa"/>
          </w:tcPr>
          <w:p w14:paraId="1D2196D3">
            <w:pPr>
              <w:rPr>
                <w:lang w:eastAsia="zh-CN"/>
              </w:rPr>
            </w:pPr>
          </w:p>
          <w:p w14:paraId="350B95A3">
            <w:pPr>
              <w:pStyle w:val="19"/>
              <w:spacing w:before="78" w:line="181" w:lineRule="auto"/>
              <w:ind w:left="340"/>
            </w:pPr>
            <w:r>
              <w:rPr>
                <w:spacing w:val="-13"/>
              </w:rPr>
              <w:t>15</w:t>
            </w:r>
          </w:p>
        </w:tc>
        <w:tc>
          <w:tcPr>
            <w:tcW w:w="1602" w:type="dxa"/>
          </w:tcPr>
          <w:p w14:paraId="56DF9F89">
            <w:pPr>
              <w:pStyle w:val="19"/>
              <w:spacing w:before="288" w:line="218" w:lineRule="auto"/>
              <w:ind w:left="124"/>
            </w:pPr>
            <w:r>
              <w:rPr>
                <w:spacing w:val="-6"/>
              </w:rPr>
              <w:t>付款方式</w:t>
            </w:r>
          </w:p>
        </w:tc>
        <w:tc>
          <w:tcPr>
            <w:tcW w:w="6417" w:type="dxa"/>
          </w:tcPr>
          <w:p w14:paraId="76C42818">
            <w:pPr>
              <w:pStyle w:val="19"/>
              <w:spacing w:before="134" w:line="227" w:lineRule="auto"/>
              <w:ind w:right="304"/>
              <w:jc w:val="both"/>
              <w:rPr>
                <w:lang w:eastAsia="zh-CN"/>
              </w:rPr>
            </w:pPr>
            <w:r>
              <w:rPr>
                <w:rFonts w:hint="eastAsia"/>
                <w:lang w:eastAsia="zh-CN"/>
              </w:rPr>
              <w:t>合同签订完成后支付合同额30%，两年运维期满并通过考核后支付合同余下的70%合同款。</w:t>
            </w:r>
          </w:p>
        </w:tc>
      </w:tr>
      <w:tr w14:paraId="037F10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75" w:hRule="atLeast"/>
        </w:trPr>
        <w:tc>
          <w:tcPr>
            <w:tcW w:w="812" w:type="dxa"/>
          </w:tcPr>
          <w:p w14:paraId="2E351477">
            <w:pPr>
              <w:spacing w:line="284" w:lineRule="auto"/>
              <w:rPr>
                <w:lang w:eastAsia="zh-CN"/>
              </w:rPr>
            </w:pPr>
          </w:p>
          <w:p w14:paraId="73745E45">
            <w:pPr>
              <w:spacing w:line="284" w:lineRule="auto"/>
              <w:rPr>
                <w:lang w:eastAsia="zh-CN"/>
              </w:rPr>
            </w:pPr>
          </w:p>
          <w:p w14:paraId="7A576F58">
            <w:pPr>
              <w:pStyle w:val="19"/>
              <w:spacing w:before="78" w:line="181" w:lineRule="auto"/>
              <w:ind w:left="347"/>
            </w:pPr>
            <w:r>
              <w:rPr>
                <w:spacing w:val="-13"/>
              </w:rPr>
              <w:t>16</w:t>
            </w:r>
          </w:p>
        </w:tc>
        <w:tc>
          <w:tcPr>
            <w:tcW w:w="1602" w:type="dxa"/>
          </w:tcPr>
          <w:p w14:paraId="790B8E27">
            <w:pPr>
              <w:spacing w:line="268" w:lineRule="auto"/>
            </w:pPr>
          </w:p>
          <w:p w14:paraId="240C105E">
            <w:pPr>
              <w:spacing w:line="269" w:lineRule="auto"/>
            </w:pPr>
          </w:p>
          <w:p w14:paraId="1231B494">
            <w:pPr>
              <w:pStyle w:val="19"/>
              <w:spacing w:before="78" w:line="215" w:lineRule="auto"/>
              <w:ind w:left="112"/>
            </w:pPr>
            <w:r>
              <w:rPr>
                <w:spacing w:val="-3"/>
              </w:rPr>
              <w:t>其他资料</w:t>
            </w:r>
          </w:p>
        </w:tc>
        <w:tc>
          <w:tcPr>
            <w:tcW w:w="6417" w:type="dxa"/>
          </w:tcPr>
          <w:p w14:paraId="2720DD1B">
            <w:pPr>
              <w:pStyle w:val="19"/>
              <w:spacing w:before="306" w:line="228" w:lineRule="auto"/>
              <w:ind w:left="116" w:right="108"/>
              <w:rPr>
                <w:lang w:eastAsia="zh-CN"/>
              </w:rPr>
            </w:pPr>
            <w:r>
              <w:rPr>
                <w:spacing w:val="-2"/>
                <w:lang w:eastAsia="zh-CN"/>
              </w:rPr>
              <w:t>适用法律、法规：《中华人民共和国政府采购法》、</w:t>
            </w:r>
            <w:r>
              <w:rPr>
                <w:spacing w:val="-3"/>
                <w:lang w:eastAsia="zh-CN"/>
              </w:rPr>
              <w:t>《中华</w:t>
            </w:r>
            <w:r>
              <w:rPr>
                <w:spacing w:val="-2"/>
                <w:lang w:eastAsia="zh-CN"/>
              </w:rPr>
              <w:t>人民共和国政府采购法实施条例》、《政府采购货物和</w:t>
            </w:r>
            <w:r>
              <w:rPr>
                <w:spacing w:val="-3"/>
                <w:lang w:eastAsia="zh-CN"/>
              </w:rPr>
              <w:t>服务</w:t>
            </w:r>
          </w:p>
          <w:p w14:paraId="72C209C1">
            <w:pPr>
              <w:pStyle w:val="19"/>
              <w:spacing w:before="31" w:line="217" w:lineRule="auto"/>
              <w:ind w:left="117"/>
              <w:outlineLvl w:val="0"/>
              <w:rPr>
                <w:lang w:eastAsia="zh-CN"/>
              </w:rPr>
            </w:pPr>
            <w:r>
              <w:rPr>
                <w:spacing w:val="-3"/>
                <w:lang w:eastAsia="zh-CN"/>
              </w:rPr>
              <w:t>招标投标管理办法》（财政部令第87号）。</w:t>
            </w:r>
          </w:p>
        </w:tc>
      </w:tr>
    </w:tbl>
    <w:p w14:paraId="5ED458B7">
      <w:pPr>
        <w:pStyle w:val="7"/>
        <w:rPr>
          <w:lang w:eastAsia="zh-CN"/>
        </w:rPr>
      </w:pPr>
    </w:p>
    <w:p w14:paraId="27CB6606">
      <w:pPr>
        <w:rPr>
          <w:lang w:eastAsia="zh-CN"/>
        </w:rPr>
        <w:sectPr>
          <w:pgSz w:w="11906" w:h="16839"/>
          <w:pgMar w:top="1440" w:right="1800" w:bottom="1440" w:left="1800" w:header="0" w:footer="567" w:gutter="0"/>
          <w:pgNumType w:fmt="decimal" w:start="1"/>
          <w:cols w:space="720" w:num="1"/>
        </w:sectPr>
      </w:pPr>
    </w:p>
    <w:p w14:paraId="2BEFEAD1">
      <w:pPr>
        <w:spacing w:line="560" w:lineRule="exact"/>
        <w:jc w:val="center"/>
        <w:outlineLvl w:val="0"/>
        <w:rPr>
          <w:rFonts w:ascii="黑体" w:hAnsi="黑体" w:eastAsia="黑体" w:cs="黑体"/>
          <w:spacing w:val="4"/>
          <w:sz w:val="32"/>
          <w:szCs w:val="32"/>
          <w:lang w:eastAsia="zh-CN"/>
          <w14:textOutline w14:w="6540" w14:cap="sq" w14:cmpd="sng" w14:algn="ctr">
            <w14:solidFill>
              <w14:srgbClr w14:val="000000"/>
            </w14:solidFill>
            <w14:prstDash w14:val="solid"/>
            <w14:bevel/>
          </w14:textOutline>
        </w:rPr>
      </w:pPr>
      <w:r>
        <w:rPr>
          <w:rFonts w:hint="eastAsia" w:ascii="黑体" w:hAnsi="黑体" w:eastAsia="黑体" w:cs="黑体"/>
          <w:spacing w:val="4"/>
          <w:sz w:val="32"/>
          <w:szCs w:val="32"/>
          <w:lang w:eastAsia="zh-CN"/>
          <w14:textOutline w14:w="6540" w14:cap="sq" w14:cmpd="sng" w14:algn="ctr">
            <w14:solidFill>
              <w14:srgbClr w14:val="000000"/>
            </w14:solidFill>
            <w14:prstDash w14:val="solid"/>
            <w14:bevel/>
          </w14:textOutline>
        </w:rPr>
        <w:t>第三章 技术要求</w:t>
      </w:r>
    </w:p>
    <w:p w14:paraId="422F8DED">
      <w:pPr>
        <w:pStyle w:val="7"/>
        <w:spacing w:line="560" w:lineRule="exact"/>
        <w:rPr>
          <w:lang w:eastAsia="zh-CN"/>
        </w:rPr>
      </w:pPr>
    </w:p>
    <w:p w14:paraId="66EC422E">
      <w:pPr>
        <w:pStyle w:val="7"/>
        <w:spacing w:line="560" w:lineRule="exact"/>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一、项目背景</w:t>
      </w:r>
    </w:p>
    <w:p w14:paraId="0A0E1757">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机动车污染防治尤其是柴油货车污染治理是打好污染防治攻坚战的重要一环，为持续改善我市环境空气质量，坚决打赢蓝天保卫战，分运用大数据、物联网、AI等技术，按照“统一规划、统一标准、统一平台”的原则，整合集成现有的移动源相关业务系统和数据资源，建立面向柴油车、非道路移动机械、用车大户、I/M站的业务系统，强化移动源综合业务管理。</w:t>
      </w:r>
    </w:p>
    <w:p w14:paraId="228F0F42">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黑体" w:cs="Times New Roman"/>
          <w:sz w:val="32"/>
          <w:szCs w:val="32"/>
          <w:lang w:eastAsia="zh-CN"/>
        </w:rPr>
      </w:pPr>
      <w:r>
        <w:rPr>
          <w:rFonts w:hint="default" w:ascii="Times New Roman" w:hAnsi="Times New Roman" w:eastAsia="仿宋_GB2312" w:cs="Times New Roman"/>
          <w:snapToGrid w:val="0"/>
          <w:color w:val="000000"/>
          <w:sz w:val="32"/>
          <w:szCs w:val="32"/>
          <w:lang w:val="en-US" w:eastAsia="zh-CN" w:bidi="ar-SA"/>
        </w:rPr>
        <w:t>平台正式上线运行以来，通过网站、手机APP等多种渠道提供各类移动源综合管控服务，该平台的建设是构建移动源污染防治体系的重要一环，能够对机动车开展全天候、全方位、全生命周期的排放监控，形成一套针对移动源“监管-治理-评估”排放治理的闭环政策控制系统。</w:t>
      </w:r>
    </w:p>
    <w:p w14:paraId="05EC0A63">
      <w:pPr>
        <w:pStyle w:val="7"/>
        <w:spacing w:line="560" w:lineRule="exact"/>
        <w:ind w:firstLine="640" w:firstLineChars="200"/>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二、</w:t>
      </w:r>
      <w:r>
        <w:rPr>
          <w:rFonts w:hint="default" w:ascii="Times New Roman" w:hAnsi="Times New Roman" w:eastAsia="黑体" w:cs="Times New Roman"/>
          <w:sz w:val="32"/>
          <w:szCs w:val="32"/>
          <w:lang w:val="en-US" w:eastAsia="zh-CN"/>
        </w:rPr>
        <w:t>项目内容</w:t>
      </w:r>
    </w:p>
    <w:p w14:paraId="3ABFE967">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按照相关业务需要和服务保障要求，对信阳市移动源天地车人一体化平台的网站、手机APP、与业务系统对接（省厅各类移动源系统、企业门禁系统、柴油车OBD远程在线监控系统等）进行日常维护，保障平台现有各项功能运行稳定，服务期内计划外服务中断时间不超过4小时。</w:t>
      </w:r>
    </w:p>
    <w:p w14:paraId="7BE180E8">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三、平台运维要求</w:t>
      </w:r>
    </w:p>
    <w:p w14:paraId="7DB76153">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1. 机动车尾气遥感监测监管：包括提供数据传输接口，新建联网账号对接各个区县遥感数据，保障遥感数据的稳定传输，数据离线提醒遥感设备厂家恢复等。</w:t>
      </w:r>
    </w:p>
    <w:p w14:paraId="51EE1B5E">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2. 柴油车OBD远程在线监控：包括与OBD厂家对接实时数据、保障OBD设备的在线率、长期不在线设备报表统计、超标车辆报表统计、定期推送超标信息提醒车主维修等。</w:t>
      </w:r>
    </w:p>
    <w:p w14:paraId="2567E25B">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3. 大宗物料运输企业门禁监管：包括新登记企业账号联网申请审核、提供数据联网培训和技术支持答疑工作、保障数据省厅联网、已联网企业设备数据上传故障及车辆不能进出问题处理、门禁企业视频监控在线离线报表定期统计、配合视频监控掉线离线企业问题排查、离线门禁企业名单及明细统计、按照市局工作部署下发大气污染管控方案、违规企业名单和明细报表统计、配合省厅下县检查门禁规范作业工作等。</w:t>
      </w:r>
    </w:p>
    <w:p w14:paraId="36CA4ED8">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4. 非道路移动机械监管：包括指定区县非道编码摸排登记、编码登记摸排数据审核、非道检测数据的规范性审核、非道定位在线离线报表统计等。</w:t>
      </w:r>
    </w:p>
    <w:p w14:paraId="4D7489A8">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5. 统计分析：包括提供每日移动源防治工作日报统计分析、定期配合省厅的各类报表统计、市局的各类临时安排的报表统计等。</w:t>
      </w:r>
    </w:p>
    <w:p w14:paraId="02748F55">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6. 平台运行检查：每周对平台应用系统情况、主机运行情况、数据库系统情况进行检查和维护，完成软件功能升级、功能设置、操作指引、故障排除等。</w:t>
      </w:r>
    </w:p>
    <w:p w14:paraId="5B46A4C0">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7. BUG修复：持续优化平台因系统缺陷导致的各种BUG的修复、因误操作导致的数据错误维护等；完成突发事件的诊断、排除。</w:t>
      </w:r>
    </w:p>
    <w:p w14:paraId="58AECAF2">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8. 数据库优化：定期优化数据中心数据库，如建立并优化索引、优化存储过程、数据库表拆分等，提高系统运行速度。</w:t>
      </w:r>
    </w:p>
    <w:p w14:paraId="0CC156C9">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9. 接口升级与数据联网：根据上级监管部门下发的规范文件，对现有接口进行升级，以满足新的业务监管要求和数据联网要求。</w:t>
      </w:r>
    </w:p>
    <w:p w14:paraId="639B575E">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10 .基本数据的维护更新：完成平台所需的各项基础配置，定期对业务数据进行整理、归档；对系统用户信息进行维护和修改，权限设置以及数据同步。</w:t>
      </w:r>
    </w:p>
    <w:p w14:paraId="6C9D958E">
      <w:pPr>
        <w:keepNext w:val="0"/>
        <w:keepLines w:val="0"/>
        <w:pageBreakBefore w:val="0"/>
        <w:kinsoku/>
        <w:wordWrap/>
        <w:overflowPunct/>
        <w:topLinePunct w:val="0"/>
        <w:autoSpaceDE/>
        <w:autoSpaceDN/>
        <w:bidi w:val="0"/>
        <w:adjustRightInd/>
        <w:snapToGrid/>
        <w:spacing w:line="580" w:lineRule="exact"/>
        <w:ind w:left="0" w:leftChars="0" w:right="0" w:rightChars="0" w:firstLine="640" w:firstLineChars="200"/>
        <w:jc w:val="both"/>
        <w:textAlignment w:val="auto"/>
        <w:rPr>
          <w:rFonts w:hint="default" w:ascii="Times New Roman" w:hAnsi="Times New Roman" w:eastAsia="仿宋_GB2312" w:cs="Times New Roman"/>
          <w:snapToGrid w:val="0"/>
          <w:color w:val="000000"/>
          <w:sz w:val="32"/>
          <w:szCs w:val="32"/>
          <w:lang w:val="en-US" w:eastAsia="zh-CN" w:bidi="ar-SA"/>
        </w:rPr>
      </w:pPr>
      <w:r>
        <w:rPr>
          <w:rFonts w:hint="default" w:ascii="Times New Roman" w:hAnsi="Times New Roman" w:eastAsia="仿宋_GB2312" w:cs="Times New Roman"/>
          <w:snapToGrid w:val="0"/>
          <w:color w:val="000000"/>
          <w:sz w:val="32"/>
          <w:szCs w:val="32"/>
          <w:lang w:val="en-US" w:eastAsia="zh-CN" w:bidi="ar-SA"/>
        </w:rPr>
        <w:t>11. 服务器维护管理：定期对系统进行安全性检查，对服务器进行漏洞扫描、补丁升级、病毒查杀，配合信息安全管理检查及整改工作。</w:t>
      </w:r>
    </w:p>
    <w:p w14:paraId="7ACB9156">
      <w:pPr>
        <w:pStyle w:val="7"/>
        <w:spacing w:line="560" w:lineRule="exact"/>
        <w:ind w:firstLine="640" w:firstLineChars="200"/>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五、提交成果</w:t>
      </w:r>
    </w:p>
    <w:p w14:paraId="0657E222">
      <w:pPr>
        <w:pStyle w:val="7"/>
        <w:spacing w:line="243" w:lineRule="auto"/>
        <w:ind w:firstLine="640" w:firstLineChars="200"/>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提供项目服务期内工作内容、运维记录、升级记录等相关工作材料，及“天地车人”平台所有技术资料。</w:t>
      </w:r>
    </w:p>
    <w:p w14:paraId="6115CF89">
      <w:pPr>
        <w:pStyle w:val="7"/>
        <w:spacing w:line="243" w:lineRule="auto"/>
        <w:ind w:firstLine="640" w:firstLineChars="200"/>
        <w:rPr>
          <w:rFonts w:hint="default" w:ascii="Times New Roman" w:hAnsi="Times New Roman" w:eastAsia="黑体" w:cs="Times New Roman"/>
          <w:color w:val="auto"/>
          <w:sz w:val="32"/>
          <w:szCs w:val="32"/>
          <w:highlight w:val="none"/>
          <w:lang w:eastAsia="zh-CN"/>
        </w:rPr>
      </w:pPr>
      <w:r>
        <w:rPr>
          <w:rFonts w:hint="default" w:ascii="Times New Roman" w:hAnsi="Times New Roman" w:eastAsia="黑体" w:cs="Times New Roman"/>
          <w:color w:val="auto"/>
          <w:sz w:val="32"/>
          <w:szCs w:val="32"/>
          <w:highlight w:val="none"/>
          <w:lang w:eastAsia="zh-CN"/>
        </w:rPr>
        <w:t>六、完成时间</w:t>
      </w:r>
    </w:p>
    <w:p w14:paraId="1A93188D">
      <w:pPr>
        <w:pStyle w:val="7"/>
        <w:spacing w:line="560" w:lineRule="exact"/>
        <w:ind w:firstLine="640" w:firstLineChars="200"/>
        <w:jc w:val="both"/>
        <w:rPr>
          <w:rFonts w:hint="default" w:ascii="Times New Roman" w:hAnsi="Times New Roman"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服务期为合同签订日起两年，最终提交运维报告和源代码。</w:t>
      </w:r>
    </w:p>
    <w:p w14:paraId="6286791D">
      <w:pPr>
        <w:pStyle w:val="2"/>
        <w:rPr>
          <w:rFonts w:hint="default" w:ascii="Nimbus Roman No9 L" w:hAnsi="Nimbus Roman No9 L" w:eastAsia="仿宋_GB2312" w:cs="Nimbus Roman No9 L"/>
          <w:snapToGrid w:val="0"/>
          <w:color w:val="000000"/>
          <w:sz w:val="32"/>
          <w:szCs w:val="32"/>
          <w:lang w:val="en-US" w:eastAsia="zh-CN" w:bidi="ar-SA"/>
        </w:rPr>
      </w:pPr>
    </w:p>
    <w:p w14:paraId="5463CBA0">
      <w:pPr>
        <w:pStyle w:val="3"/>
        <w:rPr>
          <w:rFonts w:hint="default" w:ascii="Nimbus Roman No9 L" w:hAnsi="Nimbus Roman No9 L" w:eastAsia="仿宋_GB2312" w:cs="Nimbus Roman No9 L"/>
          <w:snapToGrid w:val="0"/>
          <w:color w:val="000000"/>
          <w:sz w:val="32"/>
          <w:szCs w:val="32"/>
          <w:lang w:val="en-US" w:eastAsia="zh-CN" w:bidi="ar-SA"/>
        </w:rPr>
      </w:pPr>
    </w:p>
    <w:p w14:paraId="27A96BDF">
      <w:pPr>
        <w:rPr>
          <w:rFonts w:hint="default" w:ascii="Nimbus Roman No9 L" w:hAnsi="Nimbus Roman No9 L" w:eastAsia="仿宋_GB2312" w:cs="Nimbus Roman No9 L"/>
          <w:snapToGrid w:val="0"/>
          <w:color w:val="000000"/>
          <w:sz w:val="32"/>
          <w:szCs w:val="32"/>
          <w:lang w:val="en-US" w:eastAsia="zh-CN" w:bidi="ar-SA"/>
        </w:rPr>
      </w:pPr>
    </w:p>
    <w:p w14:paraId="00DBDE8A">
      <w:pPr>
        <w:pStyle w:val="2"/>
        <w:rPr>
          <w:rFonts w:hint="default"/>
          <w:lang w:val="en-US" w:eastAsia="zh-CN"/>
        </w:rPr>
      </w:pPr>
    </w:p>
    <w:p w14:paraId="6FDE99B5">
      <w:pPr>
        <w:pStyle w:val="3"/>
        <w:rPr>
          <w:rFonts w:hint="default"/>
          <w:lang w:val="en-US" w:eastAsia="zh-CN"/>
        </w:rPr>
      </w:pPr>
    </w:p>
    <w:p w14:paraId="6C4A3CA1">
      <w:pPr>
        <w:rPr>
          <w:rFonts w:hint="default"/>
          <w:lang w:val="en-US" w:eastAsia="zh-CN"/>
        </w:rPr>
      </w:pPr>
    </w:p>
    <w:p w14:paraId="54985999">
      <w:pPr>
        <w:spacing w:line="560" w:lineRule="exact"/>
        <w:jc w:val="center"/>
        <w:outlineLvl w:val="0"/>
        <w:rPr>
          <w:rFonts w:ascii="黑体" w:hAnsi="黑体" w:eastAsia="黑体" w:cs="黑体"/>
          <w:sz w:val="32"/>
          <w:szCs w:val="32"/>
          <w:lang w:eastAsia="zh-CN"/>
        </w:rPr>
      </w:pPr>
      <w:r>
        <w:rPr>
          <w:rFonts w:hint="eastAsia" w:ascii="黑体" w:hAnsi="黑体" w:eastAsia="黑体" w:cs="黑体"/>
          <w:spacing w:val="5"/>
          <w:sz w:val="32"/>
          <w:szCs w:val="32"/>
          <w:lang w:eastAsia="zh-CN"/>
          <w14:textOutline w14:w="7975" w14:cap="sq" w14:cmpd="sng" w14:algn="ctr">
            <w14:solidFill>
              <w14:srgbClr w14:val="000000"/>
            </w14:solidFill>
            <w14:prstDash w14:val="solid"/>
            <w14:bevel/>
          </w14:textOutline>
        </w:rPr>
        <w:t>第四章</w:t>
      </w:r>
      <w:r>
        <w:rPr>
          <w:rFonts w:hint="eastAsia" w:ascii="黑体" w:hAnsi="黑体" w:eastAsia="黑体" w:cs="黑体"/>
          <w:spacing w:val="2"/>
          <w:sz w:val="32"/>
          <w:szCs w:val="32"/>
          <w:lang w:eastAsia="zh-CN"/>
        </w:rPr>
        <w:t xml:space="preserve">  </w:t>
      </w:r>
      <w:r>
        <w:rPr>
          <w:rFonts w:hint="eastAsia" w:ascii="黑体" w:hAnsi="黑体" w:eastAsia="黑体" w:cs="黑体"/>
          <w:spacing w:val="5"/>
          <w:sz w:val="32"/>
          <w:szCs w:val="32"/>
          <w:lang w:eastAsia="zh-CN"/>
          <w14:textOutline w14:w="7975" w14:cap="sq" w14:cmpd="sng" w14:algn="ctr">
            <w14:solidFill>
              <w14:srgbClr w14:val="000000"/>
            </w14:solidFill>
            <w14:prstDash w14:val="solid"/>
            <w14:bevel/>
          </w14:textOutline>
        </w:rPr>
        <w:t>评审程序、方法及标准</w:t>
      </w:r>
    </w:p>
    <w:p w14:paraId="0D40165C">
      <w:pPr>
        <w:pStyle w:val="7"/>
        <w:spacing w:line="560" w:lineRule="exact"/>
        <w:jc w:val="both"/>
        <w:rPr>
          <w:lang w:eastAsia="zh-CN"/>
        </w:rPr>
      </w:pPr>
    </w:p>
    <w:p w14:paraId="0B38350E">
      <w:pPr>
        <w:pStyle w:val="7"/>
        <w:spacing w:line="243" w:lineRule="auto"/>
        <w:ind w:firstLine="640" w:firstLineChars="200"/>
        <w:rPr>
          <w:rFonts w:ascii="黑体" w:hAnsi="黑体" w:eastAsia="黑体" w:cs="黑体"/>
          <w:sz w:val="32"/>
          <w:szCs w:val="32"/>
          <w:lang w:eastAsia="zh-CN"/>
        </w:rPr>
      </w:pPr>
      <w:r>
        <w:rPr>
          <w:rFonts w:hint="eastAsia" w:ascii="黑体" w:hAnsi="黑体" w:eastAsia="黑体" w:cs="黑体"/>
          <w:sz w:val="32"/>
          <w:szCs w:val="32"/>
          <w:lang w:eastAsia="zh-CN"/>
        </w:rPr>
        <w:t>一、评审程序</w:t>
      </w:r>
    </w:p>
    <w:p w14:paraId="17FACB24">
      <w:pPr>
        <w:pStyle w:val="7"/>
        <w:spacing w:line="560" w:lineRule="exact"/>
        <w:ind w:firstLine="636" w:firstLineChars="200"/>
        <w:jc w:val="both"/>
        <w:rPr>
          <w:rFonts w:ascii="Times New Roman" w:hAnsi="Times New Roman" w:eastAsia="仿宋_GB2312"/>
          <w:sz w:val="32"/>
          <w:szCs w:val="32"/>
          <w:lang w:eastAsia="zh-CN"/>
        </w:rPr>
      </w:pPr>
      <w:r>
        <w:rPr>
          <w:rFonts w:ascii="Times New Roman" w:hAnsi="Times New Roman" w:eastAsia="Times New Roman" w:cs="Times New Roman"/>
          <w:spacing w:val="4"/>
          <w:sz w:val="31"/>
          <w:szCs w:val="31"/>
          <w:lang w:eastAsia="zh-CN"/>
        </w:rPr>
        <w:t>1</w:t>
      </w:r>
      <w:r>
        <w:rPr>
          <w:rFonts w:ascii="微软雅黑" w:hAnsi="微软雅黑" w:eastAsia="微软雅黑" w:cs="微软雅黑"/>
          <w:spacing w:val="4"/>
          <w:sz w:val="31"/>
          <w:szCs w:val="31"/>
          <w:lang w:eastAsia="zh-CN"/>
        </w:rPr>
        <w:t>．</w:t>
      </w:r>
      <w:r>
        <w:rPr>
          <w:rFonts w:hint="eastAsia" w:ascii="Times New Roman" w:hAnsi="Times New Roman" w:eastAsia="仿宋_GB2312"/>
          <w:sz w:val="32"/>
          <w:szCs w:val="32"/>
          <w:lang w:eastAsia="zh-CN"/>
        </w:rPr>
        <w:t>比选小组对招标文件进行确认。</w:t>
      </w:r>
    </w:p>
    <w:p w14:paraId="26683879">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2．比选小组推选组长，讨论、通过比选工作流程和要点。</w:t>
      </w:r>
    </w:p>
    <w:p w14:paraId="17DA8768">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3．资格性审查。比选开始后，比选小组依据招标文件规定，对响应文件中的资格证明进行审查，以确定投标人是否具备参与比选的资格。</w:t>
      </w:r>
    </w:p>
    <w:p w14:paraId="14CB2B92">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4．符合性审查。比选小组依据招标文件规定，对响应文件的内容是否完整、文件签署是否正确、响应文件是否符合招标文件的要求进行审查，以确定是否对招标文件的实质性要求作出响应。</w:t>
      </w:r>
    </w:p>
    <w:p w14:paraId="221A2B02">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5．技术评审。比选小组对响应文件在技术规格要求、服务等方面是否能满足招标文件实质性要求进行评审。</w:t>
      </w:r>
    </w:p>
    <w:p w14:paraId="30EAE2F4">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6．在资格性、符合性审查、技术评审中如出现下列情况之一的响应文件，按无效响应文件处理，不再进行比选，比选小组当场告知投标人：</w:t>
      </w:r>
    </w:p>
    <w:p w14:paraId="4AF5FB6E">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（1）响应文件未实质性响应招标文件要求的；</w:t>
      </w:r>
    </w:p>
    <w:p w14:paraId="1E26572D">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（2）响应文件无法定代表人（负责人）或其有效委托的授权人的签字，或未按招标文件的要求加盖公章的，或授权期限不符合要求的；</w:t>
      </w:r>
    </w:p>
    <w:p w14:paraId="5250624E">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（3）响应文件有效期低于招标文件要求的；</w:t>
      </w:r>
    </w:p>
    <w:p w14:paraId="63AB73E4">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（4）响应文件中提供虚假或失实资料的；</w:t>
      </w:r>
    </w:p>
    <w:p w14:paraId="1FD89DC5">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（5）不满足招标文件其他实质性要求的；</w:t>
      </w:r>
    </w:p>
    <w:p w14:paraId="7EE9C499">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6）认为投标人的报价明显低于其他通过符合性审查投标人的报价，有可能影响服务质量或者不能诚信履约的，应当要求其在评标现场合理的时间内提供书面说明，必要时提交相关证明材料：投标人不能证明其报价合理性的，比选小组应当将其作为无效投标处理。</w:t>
      </w:r>
    </w:p>
    <w:p w14:paraId="2C23B8DC">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7．比选小组对通过资格性和符合性审查的响应文件进行评估，确定各投标人比选的具体内容。</w:t>
      </w:r>
    </w:p>
    <w:p w14:paraId="1F359B82">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8．围绕比选要点，比选小组全体成员集中与潜在中标人候选人进行比选或单一投标人分别进行比选，比选轮次为一轮。</w:t>
      </w:r>
    </w:p>
    <w:p w14:paraId="49D91C88">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9．比选过程中，比选小组可以根据比选情况实质性变动采购需求中的技术、服务要求，但不得变动招标文件中的其他内容。实质性变动的内容需经采购人代表确认。并以书面形式通知所有参加比选的投标人，该变动是招标文件的有效组成部分。投标人应当按照招标文件的变动情况和比选小组的要求重新提交响应文件并由其法定代表人或授权代表签字或者加盖公章。由授权代表签字的应当附法定代表人授权书。投标人为自然人的应当由本人签字并附身份证。投标人应根据比选小组的要求，以书面形式在规定时间内做出响应，未做出响应的响应文件将被视为无效投标。</w:t>
      </w:r>
    </w:p>
    <w:p w14:paraId="32C7A93C">
      <w:pPr>
        <w:pStyle w:val="7"/>
        <w:spacing w:line="560" w:lineRule="exact"/>
        <w:ind w:firstLine="640" w:firstLineChars="200"/>
        <w:jc w:val="both"/>
        <w:rPr>
          <w:lang w:eastAsia="zh-CN"/>
        </w:rPr>
      </w:pPr>
      <w:r>
        <w:rPr>
          <w:rFonts w:hint="eastAsia" w:ascii="Times New Roman" w:hAnsi="Times New Roman" w:eastAsia="仿宋_GB2312"/>
          <w:sz w:val="32"/>
          <w:szCs w:val="32"/>
          <w:lang w:eastAsia="zh-CN"/>
        </w:rPr>
        <w:t>10．由比选小组采用综合评分法对实质性相应的投标人的响应文件进行综合评分。</w:t>
      </w:r>
    </w:p>
    <w:p w14:paraId="0DF0F946">
      <w:pPr>
        <w:spacing w:line="560" w:lineRule="exact"/>
        <w:ind w:left="45" w:firstLine="652" w:firstLineChars="200"/>
        <w:rPr>
          <w:rFonts w:ascii="黑体" w:hAnsi="黑体" w:eastAsia="黑体" w:cs="黑体"/>
          <w:sz w:val="31"/>
          <w:szCs w:val="31"/>
          <w:lang w:eastAsia="zh-CN"/>
        </w:rPr>
      </w:pPr>
      <w:r>
        <w:rPr>
          <w:rFonts w:ascii="黑体" w:hAnsi="黑体" w:eastAsia="黑体" w:cs="黑体"/>
          <w:spacing w:val="8"/>
          <w:sz w:val="31"/>
          <w:szCs w:val="31"/>
          <w:lang w:eastAsia="zh-CN"/>
        </w:rPr>
        <w:t>二、评标定标原则及办法</w:t>
      </w:r>
    </w:p>
    <w:p w14:paraId="5EEAC498">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l、本次招标评标采用综合评分法，即在响应招标文件实质性要求前提下，按照招标文件中规定的评分标准和各项因素进行综合评审后，以评审总得分最高的投标人作为中标候选人。</w:t>
      </w:r>
    </w:p>
    <w:p w14:paraId="0B5B7828">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2、比选小组各成员独立对每个进入打分程序的有效投标人的标书技术和资质部分以打分的形式进行评审和评价，各投标人的最终得分为各评委所评定分数的算术平均值，各项统计、评分结果均按四舍五入的方法精确到小数点后2位。</w:t>
      </w:r>
    </w:p>
    <w:p w14:paraId="106331E9">
      <w:pPr>
        <w:pStyle w:val="7"/>
        <w:spacing w:line="560" w:lineRule="exact"/>
        <w:ind w:firstLine="644" w:firstLineChars="200"/>
        <w:jc w:val="both"/>
        <w:rPr>
          <w:rFonts w:ascii="Times New Roman" w:hAnsi="Times New Roman" w:eastAsia="仿宋_GB2312"/>
          <w:sz w:val="32"/>
          <w:szCs w:val="32"/>
          <w:lang w:eastAsia="zh-CN"/>
        </w:rPr>
      </w:pPr>
      <w:r>
        <w:rPr>
          <w:rFonts w:ascii="Times New Roman" w:hAnsi="Times New Roman" w:eastAsia="Times New Roman" w:cs="Times New Roman"/>
          <w:spacing w:val="6"/>
          <w:sz w:val="31"/>
          <w:szCs w:val="31"/>
          <w:lang w:eastAsia="zh-CN"/>
        </w:rPr>
        <w:t>3</w:t>
      </w:r>
      <w:r>
        <w:rPr>
          <w:rFonts w:ascii="微软雅黑" w:hAnsi="微软雅黑" w:eastAsia="微软雅黑" w:cs="微软雅黑"/>
          <w:spacing w:val="6"/>
          <w:sz w:val="31"/>
          <w:szCs w:val="31"/>
          <w:lang w:eastAsia="zh-CN"/>
        </w:rPr>
        <w:t>、</w:t>
      </w:r>
      <w:r>
        <w:rPr>
          <w:rFonts w:hint="eastAsia" w:ascii="Times New Roman" w:hAnsi="Times New Roman" w:eastAsia="仿宋_GB2312"/>
          <w:sz w:val="32"/>
          <w:szCs w:val="32"/>
          <w:lang w:eastAsia="zh-CN"/>
        </w:rPr>
        <w:t>比选小组根据投标人的得分，按从高到低的顺序推荐候选人，由采购人按照法律法规及招标文件的有关规定确定中标人。如出现投标人的最终得分最高的投标人有两个或两个以上的，以技术部分评分高者优先作为中标候选人，如果技术评分也相同的，由采购人自行决定。</w:t>
      </w:r>
    </w:p>
    <w:p w14:paraId="033392B1">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比选小组参与人员组成：局专家3人。</w:t>
      </w:r>
    </w:p>
    <w:p w14:paraId="5A730D84">
      <w:pPr>
        <w:pStyle w:val="7"/>
        <w:spacing w:line="560" w:lineRule="exact"/>
        <w:ind w:firstLine="640" w:firstLineChars="200"/>
        <w:jc w:val="both"/>
        <w:rPr>
          <w:rFonts w:ascii="Times New Roman" w:hAnsi="Times New Roman" w:eastAsia="仿宋_GB2312"/>
          <w:sz w:val="32"/>
          <w:szCs w:val="32"/>
          <w:lang w:eastAsia="zh-CN"/>
        </w:rPr>
      </w:pPr>
      <w:r>
        <w:rPr>
          <w:rFonts w:hint="eastAsia" w:ascii="Times New Roman" w:hAnsi="Times New Roman" w:eastAsia="仿宋_GB2312"/>
          <w:sz w:val="32"/>
          <w:szCs w:val="32"/>
          <w:lang w:eastAsia="zh-CN"/>
        </w:rPr>
        <w:t>评分小组组成：3人（局专家3人）。</w:t>
      </w:r>
    </w:p>
    <w:p w14:paraId="38574EAD">
      <w:pPr>
        <w:spacing w:before="87" w:line="227" w:lineRule="auto"/>
        <w:ind w:left="46" w:firstLine="668" w:firstLineChars="200"/>
        <w:rPr>
          <w:rFonts w:ascii="黑体" w:hAnsi="黑体" w:eastAsia="黑体" w:cs="黑体"/>
          <w:sz w:val="31"/>
          <w:szCs w:val="31"/>
        </w:rPr>
      </w:pPr>
      <w:r>
        <w:rPr>
          <w:rFonts w:ascii="黑体" w:hAnsi="黑体" w:eastAsia="黑体" w:cs="黑体"/>
          <w:spacing w:val="7"/>
          <w:sz w:val="32"/>
          <w:szCs w:val="32"/>
        </w:rPr>
        <w:t>三、本项目评分标准</w:t>
      </w:r>
    </w:p>
    <w:p w14:paraId="02A361B5">
      <w:pPr>
        <w:spacing w:line="88" w:lineRule="exact"/>
      </w:pPr>
    </w:p>
    <w:tbl>
      <w:tblPr>
        <w:tblStyle w:val="18"/>
        <w:tblW w:w="8876" w:type="dxa"/>
        <w:tblInd w:w="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38"/>
        <w:gridCol w:w="4138"/>
      </w:tblGrid>
      <w:tr w14:paraId="144C31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4738" w:type="dxa"/>
            <w:tcBorders>
              <w:top w:val="single" w:color="000000" w:sz="10" w:space="0"/>
              <w:left w:val="single" w:color="000000" w:sz="10" w:space="0"/>
            </w:tcBorders>
          </w:tcPr>
          <w:p w14:paraId="4BDF9265">
            <w:pPr>
              <w:spacing w:before="172" w:line="219" w:lineRule="auto"/>
              <w:ind w:left="2034"/>
              <w:rPr>
                <w:rFonts w:ascii="宋体" w:hAnsi="宋体" w:eastAsia="宋体" w:cs="宋体"/>
                <w:sz w:val="18"/>
                <w:szCs w:val="18"/>
              </w:rPr>
            </w:pPr>
            <w:r>
              <w:rPr>
                <w:rFonts w:ascii="宋体" w:hAnsi="宋体" w:eastAsia="宋体" w:cs="宋体"/>
                <w:spacing w:val="-1"/>
                <w:sz w:val="18"/>
                <w:szCs w:val="18"/>
                <w14:textOutline w14:w="3263" w14:cap="sq" w14:cmpd="sng" w14:algn="ctr">
                  <w14:solidFill>
                    <w14:srgbClr w14:val="000000"/>
                  </w14:solidFill>
                  <w14:prstDash w14:val="solid"/>
                  <w14:bevel/>
                </w14:textOutline>
              </w:rPr>
              <w:t>评分因素</w:t>
            </w:r>
          </w:p>
        </w:tc>
        <w:tc>
          <w:tcPr>
            <w:tcW w:w="4138" w:type="dxa"/>
            <w:tcBorders>
              <w:top w:val="single" w:color="000000" w:sz="10" w:space="0"/>
              <w:right w:val="single" w:color="000000" w:sz="10" w:space="0"/>
            </w:tcBorders>
          </w:tcPr>
          <w:p w14:paraId="7226FD3F">
            <w:pPr>
              <w:spacing w:before="172" w:line="220" w:lineRule="auto"/>
              <w:ind w:left="11"/>
              <w:jc w:val="center"/>
              <w:rPr>
                <w:rFonts w:ascii="宋体" w:hAnsi="宋体" w:eastAsia="宋体" w:cs="宋体"/>
                <w:sz w:val="18"/>
                <w:szCs w:val="18"/>
              </w:rPr>
            </w:pPr>
            <w:r>
              <w:rPr>
                <w:rFonts w:ascii="宋体" w:hAnsi="宋体" w:eastAsia="宋体" w:cs="宋体"/>
                <w:spacing w:val="-3"/>
                <w:sz w:val="18"/>
                <w:szCs w:val="18"/>
                <w14:textOutline w14:w="3263" w14:cap="sq" w14:cmpd="sng" w14:algn="ctr">
                  <w14:solidFill>
                    <w14:srgbClr w14:val="000000"/>
                  </w14:solidFill>
                  <w14:prstDash w14:val="solid"/>
                  <w14:bevel/>
                </w14:textOutline>
              </w:rPr>
              <w:t>分置分配</w:t>
            </w:r>
          </w:p>
        </w:tc>
      </w:tr>
      <w:tr w14:paraId="6D2AAE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3" w:hRule="atLeast"/>
        </w:trPr>
        <w:tc>
          <w:tcPr>
            <w:tcW w:w="4738" w:type="dxa"/>
            <w:tcBorders>
              <w:left w:val="single" w:color="000000" w:sz="10" w:space="0"/>
            </w:tcBorders>
          </w:tcPr>
          <w:p w14:paraId="21AE3EF3">
            <w:pPr>
              <w:spacing w:before="169" w:line="218" w:lineRule="auto"/>
              <w:ind w:left="2031"/>
              <w:rPr>
                <w:rFonts w:ascii="宋体" w:hAnsi="宋体" w:eastAsia="宋体" w:cs="宋体"/>
                <w:sz w:val="18"/>
                <w:szCs w:val="18"/>
              </w:rPr>
            </w:pPr>
            <w:r>
              <w:rPr>
                <w:rFonts w:ascii="宋体" w:hAnsi="宋体" w:eastAsia="宋体" w:cs="宋体"/>
                <w:spacing w:val="-2"/>
                <w:sz w:val="18"/>
                <w:szCs w:val="18"/>
              </w:rPr>
              <w:t>报价部分</w:t>
            </w:r>
          </w:p>
        </w:tc>
        <w:tc>
          <w:tcPr>
            <w:tcW w:w="4138" w:type="dxa"/>
            <w:tcBorders>
              <w:right w:val="single" w:color="000000" w:sz="10" w:space="0"/>
            </w:tcBorders>
          </w:tcPr>
          <w:p w14:paraId="1C8C19C9">
            <w:pPr>
              <w:spacing w:before="187" w:line="220" w:lineRule="auto"/>
              <w:ind w:left="1864"/>
              <w:rPr>
                <w:rFonts w:ascii="Times New Roman" w:hAnsi="Times New Roman" w:eastAsia="Times New Roman" w:cs="Times New Roman"/>
                <w:spacing w:val="-6"/>
                <w:sz w:val="18"/>
                <w:szCs w:val="18"/>
                <w:highlight w:val="none"/>
              </w:rPr>
            </w:pPr>
            <w:r>
              <w:rPr>
                <w:rFonts w:hint="eastAsia" w:ascii="Times New Roman" w:hAnsi="Times New Roman" w:eastAsia="宋体" w:cs="Times New Roman"/>
                <w:spacing w:val="-6"/>
                <w:sz w:val="18"/>
                <w:szCs w:val="18"/>
                <w:highlight w:val="none"/>
                <w:lang w:val="en-US" w:eastAsia="zh-CN"/>
              </w:rPr>
              <w:t>30</w:t>
            </w:r>
            <w:r>
              <w:rPr>
                <w:rFonts w:ascii="Times New Roman" w:hAnsi="Times New Roman" w:eastAsia="Times New Roman" w:cs="Times New Roman"/>
                <w:spacing w:val="-6"/>
                <w:sz w:val="18"/>
                <w:szCs w:val="18"/>
                <w:highlight w:val="none"/>
              </w:rPr>
              <w:t>分</w:t>
            </w:r>
          </w:p>
        </w:tc>
      </w:tr>
      <w:tr w14:paraId="5F3062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4738" w:type="dxa"/>
            <w:tcBorders>
              <w:left w:val="single" w:color="000000" w:sz="10" w:space="0"/>
            </w:tcBorders>
          </w:tcPr>
          <w:p w14:paraId="41CD7463">
            <w:pPr>
              <w:spacing w:before="176" w:line="219" w:lineRule="auto"/>
              <w:ind w:left="2036"/>
              <w:rPr>
                <w:rFonts w:ascii="宋体" w:hAnsi="宋体" w:eastAsia="宋体" w:cs="宋体"/>
                <w:sz w:val="18"/>
                <w:szCs w:val="18"/>
              </w:rPr>
            </w:pPr>
            <w:r>
              <w:rPr>
                <w:rFonts w:hint="eastAsia" w:ascii="宋体" w:hAnsi="宋体" w:eastAsia="宋体" w:cs="宋体"/>
                <w:spacing w:val="-3"/>
                <w:sz w:val="18"/>
                <w:szCs w:val="18"/>
                <w:lang w:eastAsia="zh-CN"/>
              </w:rPr>
              <w:t>技术</w:t>
            </w:r>
            <w:r>
              <w:rPr>
                <w:rFonts w:ascii="宋体" w:hAnsi="宋体" w:eastAsia="宋体" w:cs="宋体"/>
                <w:spacing w:val="-3"/>
                <w:sz w:val="18"/>
                <w:szCs w:val="18"/>
              </w:rPr>
              <w:t>部分</w:t>
            </w:r>
          </w:p>
        </w:tc>
        <w:tc>
          <w:tcPr>
            <w:tcW w:w="4138" w:type="dxa"/>
            <w:tcBorders>
              <w:right w:val="single" w:color="000000" w:sz="10" w:space="0"/>
            </w:tcBorders>
          </w:tcPr>
          <w:p w14:paraId="6574F019">
            <w:pPr>
              <w:spacing w:before="187" w:line="220" w:lineRule="auto"/>
              <w:ind w:left="1864"/>
              <w:rPr>
                <w:rFonts w:ascii="Times New Roman" w:hAnsi="Times New Roman" w:eastAsia="Times New Roman" w:cs="Times New Roman"/>
                <w:spacing w:val="-6"/>
                <w:sz w:val="18"/>
                <w:szCs w:val="18"/>
                <w:highlight w:val="none"/>
              </w:rPr>
            </w:pPr>
            <w:r>
              <w:rPr>
                <w:rFonts w:hint="eastAsia" w:ascii="Times New Roman" w:hAnsi="Times New Roman" w:eastAsia="宋体" w:cs="Times New Roman"/>
                <w:spacing w:val="-6"/>
                <w:sz w:val="18"/>
                <w:szCs w:val="18"/>
                <w:highlight w:val="none"/>
                <w:lang w:val="en-US" w:eastAsia="zh-CN"/>
              </w:rPr>
              <w:t>15</w:t>
            </w:r>
            <w:r>
              <w:rPr>
                <w:rFonts w:ascii="Times New Roman" w:hAnsi="Times New Roman" w:eastAsia="Times New Roman" w:cs="Times New Roman"/>
                <w:spacing w:val="-6"/>
                <w:sz w:val="18"/>
                <w:szCs w:val="18"/>
                <w:highlight w:val="none"/>
              </w:rPr>
              <w:t>分</w:t>
            </w:r>
          </w:p>
        </w:tc>
      </w:tr>
      <w:tr w14:paraId="6E23C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4738" w:type="dxa"/>
            <w:tcBorders>
              <w:left w:val="single" w:color="000000" w:sz="10" w:space="0"/>
            </w:tcBorders>
          </w:tcPr>
          <w:p w14:paraId="4CA22DDC">
            <w:pPr>
              <w:spacing w:before="178" w:line="219" w:lineRule="auto"/>
              <w:ind w:left="2033"/>
              <w:rPr>
                <w:rFonts w:ascii="宋体" w:hAnsi="宋体" w:eastAsia="宋体" w:cs="宋体"/>
                <w:sz w:val="18"/>
                <w:szCs w:val="18"/>
              </w:rPr>
            </w:pPr>
            <w:r>
              <w:rPr>
                <w:rFonts w:hint="eastAsia" w:ascii="宋体" w:hAnsi="宋体" w:eastAsia="宋体" w:cs="宋体"/>
                <w:spacing w:val="-2"/>
                <w:sz w:val="18"/>
                <w:szCs w:val="18"/>
                <w:lang w:val="en-US" w:eastAsia="zh-CN"/>
              </w:rPr>
              <w:t>综合</w:t>
            </w:r>
            <w:r>
              <w:rPr>
                <w:rFonts w:ascii="宋体" w:hAnsi="宋体" w:eastAsia="宋体" w:cs="宋体"/>
                <w:spacing w:val="-2"/>
                <w:sz w:val="18"/>
                <w:szCs w:val="18"/>
              </w:rPr>
              <w:t>部分</w:t>
            </w:r>
          </w:p>
        </w:tc>
        <w:tc>
          <w:tcPr>
            <w:tcW w:w="4138" w:type="dxa"/>
            <w:tcBorders>
              <w:right w:val="single" w:color="000000" w:sz="10" w:space="0"/>
            </w:tcBorders>
          </w:tcPr>
          <w:p w14:paraId="4F0AC102">
            <w:pPr>
              <w:spacing w:before="187" w:line="220" w:lineRule="auto"/>
              <w:ind w:left="1864"/>
              <w:rPr>
                <w:rFonts w:ascii="Times New Roman" w:hAnsi="Times New Roman" w:eastAsia="Times New Roman" w:cs="Times New Roman"/>
                <w:spacing w:val="-6"/>
                <w:sz w:val="18"/>
                <w:szCs w:val="18"/>
                <w:highlight w:val="none"/>
              </w:rPr>
            </w:pPr>
            <w:r>
              <w:rPr>
                <w:rFonts w:hint="eastAsia" w:ascii="Times New Roman" w:hAnsi="Times New Roman" w:eastAsia="Times New Roman" w:cs="Times New Roman"/>
                <w:spacing w:val="-6"/>
                <w:sz w:val="18"/>
                <w:szCs w:val="18"/>
                <w:highlight w:val="none"/>
                <w:lang w:val="en-US" w:eastAsia="zh-CN"/>
              </w:rPr>
              <w:t>55</w:t>
            </w:r>
            <w:r>
              <w:rPr>
                <w:rFonts w:ascii="Times New Roman" w:hAnsi="Times New Roman" w:eastAsia="Times New Roman" w:cs="Times New Roman"/>
                <w:spacing w:val="-6"/>
                <w:sz w:val="18"/>
                <w:szCs w:val="18"/>
                <w:highlight w:val="none"/>
              </w:rPr>
              <w:t>分</w:t>
            </w:r>
          </w:p>
        </w:tc>
      </w:tr>
      <w:tr w14:paraId="42CA3A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6" w:hRule="atLeast"/>
        </w:trPr>
        <w:tc>
          <w:tcPr>
            <w:tcW w:w="4738" w:type="dxa"/>
            <w:tcBorders>
              <w:left w:val="single" w:color="000000" w:sz="10" w:space="0"/>
              <w:bottom w:val="single" w:color="000000" w:sz="10" w:space="0"/>
            </w:tcBorders>
          </w:tcPr>
          <w:p w14:paraId="714F4F15">
            <w:pPr>
              <w:spacing w:before="187" w:line="221" w:lineRule="auto"/>
              <w:ind w:left="2213"/>
              <w:rPr>
                <w:rFonts w:ascii="宋体" w:hAnsi="宋体" w:eastAsia="宋体" w:cs="宋体"/>
                <w:sz w:val="18"/>
                <w:szCs w:val="18"/>
              </w:rPr>
            </w:pPr>
            <w:r>
              <w:rPr>
                <w:rFonts w:ascii="宋体" w:hAnsi="宋体" w:eastAsia="宋体" w:cs="宋体"/>
                <w:spacing w:val="-4"/>
                <w:sz w:val="18"/>
                <w:szCs w:val="18"/>
              </w:rPr>
              <w:t>合计</w:t>
            </w:r>
          </w:p>
        </w:tc>
        <w:tc>
          <w:tcPr>
            <w:tcW w:w="4138" w:type="dxa"/>
            <w:tcBorders>
              <w:bottom w:val="single" w:color="000000" w:sz="10" w:space="0"/>
              <w:right w:val="single" w:color="000000" w:sz="10" w:space="0"/>
            </w:tcBorders>
          </w:tcPr>
          <w:p w14:paraId="054783C9">
            <w:pPr>
              <w:spacing w:before="187" w:line="220" w:lineRule="auto"/>
              <w:ind w:left="1864"/>
              <w:rPr>
                <w:rFonts w:ascii="宋体" w:hAnsi="宋体" w:eastAsia="宋体" w:cs="宋体"/>
                <w:sz w:val="18"/>
                <w:szCs w:val="18"/>
                <w:highlight w:val="none"/>
              </w:rPr>
            </w:pPr>
            <w:r>
              <w:rPr>
                <w:rFonts w:ascii="Times New Roman" w:hAnsi="Times New Roman" w:eastAsia="Times New Roman" w:cs="Times New Roman"/>
                <w:spacing w:val="-6"/>
                <w:sz w:val="18"/>
                <w:szCs w:val="18"/>
                <w:highlight w:val="none"/>
              </w:rPr>
              <w:t>100</w:t>
            </w:r>
            <w:r>
              <w:rPr>
                <w:rFonts w:ascii="Times New Roman" w:hAnsi="Times New Roman" w:eastAsia="Times New Roman" w:cs="Times New Roman"/>
                <w:spacing w:val="10"/>
                <w:sz w:val="18"/>
                <w:szCs w:val="18"/>
                <w:highlight w:val="none"/>
              </w:rPr>
              <w:t xml:space="preserve"> </w:t>
            </w:r>
            <w:r>
              <w:rPr>
                <w:rFonts w:ascii="宋体" w:hAnsi="宋体" w:eastAsia="宋体" w:cs="宋体"/>
                <w:spacing w:val="-6"/>
                <w:sz w:val="18"/>
                <w:szCs w:val="18"/>
                <w:highlight w:val="none"/>
              </w:rPr>
              <w:t>分</w:t>
            </w:r>
          </w:p>
        </w:tc>
      </w:tr>
    </w:tbl>
    <w:p w14:paraId="32039BCA">
      <w:pPr>
        <w:pStyle w:val="7"/>
      </w:pPr>
    </w:p>
    <w:p w14:paraId="652C8C28">
      <w:pPr>
        <w:sectPr>
          <w:pgSz w:w="11906" w:h="16839"/>
          <w:pgMar w:top="1440" w:right="1800" w:bottom="1440" w:left="1800" w:header="0" w:footer="567" w:gutter="0"/>
          <w:pgNumType w:fmt="decimal"/>
          <w:cols w:space="720" w:num="1"/>
        </w:sectPr>
      </w:pPr>
    </w:p>
    <w:p w14:paraId="5D6A6FC1">
      <w:pPr>
        <w:spacing w:before="87" w:line="227" w:lineRule="auto"/>
        <w:ind w:left="46" w:firstLine="668" w:firstLineChars="200"/>
        <w:rPr>
          <w:rFonts w:ascii="黑体" w:hAnsi="黑体" w:eastAsia="黑体" w:cs="黑体"/>
          <w:color w:val="FF0000"/>
          <w:spacing w:val="7"/>
          <w:sz w:val="32"/>
          <w:szCs w:val="32"/>
        </w:rPr>
      </w:pPr>
      <w:r>
        <w:rPr>
          <w:rFonts w:ascii="黑体" w:hAnsi="黑体" w:eastAsia="黑体" w:cs="黑体"/>
          <w:color w:val="FF0000"/>
          <w:spacing w:val="7"/>
          <w:sz w:val="32"/>
          <w:szCs w:val="32"/>
        </w:rPr>
        <w:t>四、评分因素</w:t>
      </w:r>
    </w:p>
    <w:tbl>
      <w:tblPr>
        <w:tblStyle w:val="18"/>
        <w:tblW w:w="882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38"/>
        <w:gridCol w:w="991"/>
        <w:gridCol w:w="1210"/>
        <w:gridCol w:w="5432"/>
        <w:gridCol w:w="558"/>
      </w:tblGrid>
      <w:tr w14:paraId="0FE30C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638" w:type="dxa"/>
            <w:vAlign w:val="center"/>
          </w:tcPr>
          <w:p w14:paraId="20AE54C4">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rPr>
            </w:pPr>
            <w:r>
              <w:rPr>
                <w:rFonts w:ascii="宋体" w:hAnsi="宋体" w:eastAsia="宋体" w:cs="宋体"/>
                <w:spacing w:val="5"/>
                <w:sz w:val="20"/>
                <w:szCs w:val="20"/>
              </w:rPr>
              <w:t>序号</w:t>
            </w:r>
          </w:p>
        </w:tc>
        <w:tc>
          <w:tcPr>
            <w:tcW w:w="2201" w:type="dxa"/>
            <w:gridSpan w:val="2"/>
            <w:vAlign w:val="center"/>
          </w:tcPr>
          <w:p w14:paraId="5873BF48">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rPr>
            </w:pPr>
            <w:r>
              <w:rPr>
                <w:rFonts w:ascii="宋体" w:hAnsi="宋体" w:eastAsia="宋体" w:cs="宋体"/>
                <w:spacing w:val="7"/>
                <w:sz w:val="20"/>
                <w:szCs w:val="20"/>
              </w:rPr>
              <w:t>评分项目</w:t>
            </w:r>
          </w:p>
        </w:tc>
        <w:tc>
          <w:tcPr>
            <w:tcW w:w="5432" w:type="dxa"/>
            <w:vAlign w:val="center"/>
          </w:tcPr>
          <w:p w14:paraId="5ED77105">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rPr>
            </w:pPr>
            <w:r>
              <w:rPr>
                <w:rFonts w:ascii="宋体" w:hAnsi="宋体" w:eastAsia="宋体" w:cs="宋体"/>
                <w:spacing w:val="7"/>
                <w:sz w:val="20"/>
                <w:szCs w:val="20"/>
              </w:rPr>
              <w:t>评分标准</w:t>
            </w:r>
          </w:p>
        </w:tc>
        <w:tc>
          <w:tcPr>
            <w:tcW w:w="558" w:type="dxa"/>
            <w:vAlign w:val="center"/>
          </w:tcPr>
          <w:p w14:paraId="32E1616F">
            <w:pPr>
              <w:keepNext w:val="0"/>
              <w:keepLines w:val="0"/>
              <w:pageBreakBefore w:val="0"/>
              <w:widowControl/>
              <w:kinsoku w:val="0"/>
              <w:wordWrap/>
              <w:overflowPunct/>
              <w:topLinePunct w:val="0"/>
              <w:autoSpaceDE w:val="0"/>
              <w:autoSpaceDN w:val="0"/>
              <w:bidi w:val="0"/>
              <w:adjustRightInd w:val="0"/>
              <w:snapToGrid w:val="0"/>
              <w:spacing w:before="56" w:line="320" w:lineRule="exact"/>
              <w:ind w:left="77" w:right="67" w:hanging="1"/>
              <w:jc w:val="center"/>
              <w:textAlignment w:val="baseline"/>
              <w:rPr>
                <w:rFonts w:ascii="宋体" w:hAnsi="宋体" w:eastAsia="宋体" w:cs="宋体"/>
                <w:sz w:val="20"/>
                <w:szCs w:val="20"/>
              </w:rPr>
            </w:pPr>
            <w:r>
              <w:rPr>
                <w:rFonts w:ascii="宋体" w:hAnsi="宋体" w:eastAsia="宋体" w:cs="宋体"/>
                <w:spacing w:val="4"/>
                <w:sz w:val="20"/>
                <w:szCs w:val="20"/>
              </w:rPr>
              <w:t>标准</w:t>
            </w:r>
            <w:r>
              <w:rPr>
                <w:rFonts w:ascii="宋体" w:hAnsi="宋体" w:eastAsia="宋体" w:cs="宋体"/>
                <w:sz w:val="20"/>
                <w:szCs w:val="20"/>
              </w:rPr>
              <w:t xml:space="preserve"> </w:t>
            </w:r>
            <w:r>
              <w:rPr>
                <w:rFonts w:ascii="宋体" w:hAnsi="宋体" w:eastAsia="宋体" w:cs="宋体"/>
                <w:spacing w:val="3"/>
                <w:sz w:val="20"/>
                <w:szCs w:val="20"/>
              </w:rPr>
              <w:t>分值</w:t>
            </w:r>
          </w:p>
        </w:tc>
      </w:tr>
      <w:tr w14:paraId="0AF04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9" w:hRule="atLeast"/>
        </w:trPr>
        <w:tc>
          <w:tcPr>
            <w:tcW w:w="638" w:type="dxa"/>
            <w:tcBorders>
              <w:bottom w:val="single" w:color="auto" w:sz="4" w:space="0"/>
            </w:tcBorders>
            <w:vAlign w:val="center"/>
          </w:tcPr>
          <w:p w14:paraId="3B3DA0E4">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z w:val="20"/>
                <w:szCs w:val="20"/>
              </w:rPr>
              <w:t>1</w:t>
            </w:r>
          </w:p>
        </w:tc>
        <w:tc>
          <w:tcPr>
            <w:tcW w:w="991" w:type="dxa"/>
            <w:tcBorders>
              <w:bottom w:val="single" w:color="auto" w:sz="4" w:space="0"/>
            </w:tcBorders>
            <w:vAlign w:val="center"/>
          </w:tcPr>
          <w:p w14:paraId="41E9E5C6">
            <w:pPr>
              <w:keepNext w:val="0"/>
              <w:keepLines w:val="0"/>
              <w:pageBreakBefore w:val="0"/>
              <w:widowControl/>
              <w:kinsoku w:val="0"/>
              <w:wordWrap/>
              <w:overflowPunct/>
              <w:topLinePunct w:val="0"/>
              <w:autoSpaceDE w:val="0"/>
              <w:autoSpaceDN w:val="0"/>
              <w:bidi w:val="0"/>
              <w:adjustRightInd w:val="0"/>
              <w:snapToGrid w:val="0"/>
              <w:spacing w:line="320" w:lineRule="exact"/>
              <w:ind w:hanging="11"/>
              <w:jc w:val="center"/>
              <w:textAlignment w:val="baseline"/>
              <w:rPr>
                <w:rFonts w:ascii="宋体" w:hAnsi="宋体" w:eastAsia="宋体" w:cs="宋体"/>
                <w:sz w:val="20"/>
                <w:szCs w:val="20"/>
                <w:highlight w:val="none"/>
              </w:rPr>
            </w:pPr>
            <w:r>
              <w:rPr>
                <w:rFonts w:ascii="宋体" w:hAnsi="宋体" w:eastAsia="宋体" w:cs="宋体"/>
                <w:spacing w:val="7"/>
                <w:sz w:val="20"/>
                <w:szCs w:val="20"/>
                <w:highlight w:val="none"/>
              </w:rPr>
              <w:t>报价部分</w:t>
            </w:r>
            <w:r>
              <w:rPr>
                <w:rFonts w:ascii="宋体" w:hAnsi="宋体" w:eastAsia="宋体" w:cs="宋体"/>
                <w:spacing w:val="2"/>
                <w:sz w:val="20"/>
                <w:szCs w:val="20"/>
                <w:highlight w:val="none"/>
              </w:rPr>
              <w:t xml:space="preserve"> （</w:t>
            </w:r>
            <w:r>
              <w:rPr>
                <w:rFonts w:hint="eastAsia" w:ascii="Times New Roman" w:hAnsi="Times New Roman" w:eastAsia="宋体" w:cs="Times New Roman"/>
                <w:spacing w:val="2"/>
                <w:sz w:val="20"/>
                <w:szCs w:val="20"/>
                <w:highlight w:val="none"/>
                <w:lang w:val="en-US" w:eastAsia="zh-CN"/>
              </w:rPr>
              <w:t>30</w:t>
            </w:r>
            <w:r>
              <w:rPr>
                <w:rFonts w:ascii="宋体" w:hAnsi="宋体" w:eastAsia="宋体" w:cs="宋体"/>
                <w:spacing w:val="2"/>
                <w:sz w:val="20"/>
                <w:szCs w:val="20"/>
                <w:highlight w:val="none"/>
              </w:rPr>
              <w:t>分）</w:t>
            </w:r>
          </w:p>
        </w:tc>
        <w:tc>
          <w:tcPr>
            <w:tcW w:w="1210" w:type="dxa"/>
            <w:tcBorders>
              <w:bottom w:val="single" w:color="auto" w:sz="4" w:space="0"/>
            </w:tcBorders>
            <w:vAlign w:val="center"/>
          </w:tcPr>
          <w:p w14:paraId="7CE0B6E2">
            <w:pPr>
              <w:keepNext w:val="0"/>
              <w:keepLines w:val="0"/>
              <w:pageBreakBefore w:val="0"/>
              <w:widowControl/>
              <w:kinsoku w:val="0"/>
              <w:wordWrap/>
              <w:overflowPunct/>
              <w:topLinePunct w:val="0"/>
              <w:autoSpaceDE w:val="0"/>
              <w:autoSpaceDN w:val="0"/>
              <w:bidi w:val="0"/>
              <w:adjustRightInd w:val="0"/>
              <w:snapToGrid w:val="0"/>
              <w:spacing w:line="320" w:lineRule="exact"/>
              <w:ind w:hanging="7"/>
              <w:jc w:val="center"/>
              <w:textAlignment w:val="baseline"/>
              <w:rPr>
                <w:rFonts w:ascii="宋体" w:hAnsi="宋体" w:eastAsia="宋体" w:cs="宋体"/>
                <w:spacing w:val="2"/>
                <w:sz w:val="20"/>
                <w:szCs w:val="20"/>
                <w:highlight w:val="none"/>
              </w:rPr>
            </w:pPr>
            <w:r>
              <w:rPr>
                <w:rFonts w:ascii="宋体" w:hAnsi="宋体" w:eastAsia="宋体" w:cs="宋体"/>
                <w:spacing w:val="6"/>
                <w:sz w:val="20"/>
                <w:szCs w:val="20"/>
                <w:highlight w:val="none"/>
              </w:rPr>
              <w:t>投标报价</w:t>
            </w:r>
            <w:r>
              <w:rPr>
                <w:rFonts w:ascii="宋体" w:hAnsi="宋体" w:eastAsia="宋体" w:cs="宋体"/>
                <w:spacing w:val="2"/>
                <w:sz w:val="20"/>
                <w:szCs w:val="20"/>
                <w:highlight w:val="none"/>
              </w:rPr>
              <w:t xml:space="preserve"> </w:t>
            </w:r>
          </w:p>
          <w:p w14:paraId="188BE48E">
            <w:pPr>
              <w:keepNext w:val="0"/>
              <w:keepLines w:val="0"/>
              <w:pageBreakBefore w:val="0"/>
              <w:widowControl/>
              <w:kinsoku w:val="0"/>
              <w:wordWrap/>
              <w:overflowPunct/>
              <w:topLinePunct w:val="0"/>
              <w:autoSpaceDE w:val="0"/>
              <w:autoSpaceDN w:val="0"/>
              <w:bidi w:val="0"/>
              <w:adjustRightInd w:val="0"/>
              <w:snapToGrid w:val="0"/>
              <w:spacing w:line="320" w:lineRule="exact"/>
              <w:ind w:hanging="7"/>
              <w:jc w:val="center"/>
              <w:textAlignment w:val="baseline"/>
              <w:rPr>
                <w:rFonts w:ascii="宋体" w:hAnsi="宋体" w:eastAsia="宋体" w:cs="宋体"/>
                <w:sz w:val="20"/>
                <w:szCs w:val="20"/>
                <w:highlight w:val="none"/>
              </w:rPr>
            </w:pPr>
            <w:r>
              <w:rPr>
                <w:rFonts w:ascii="宋体" w:hAnsi="宋体" w:eastAsia="宋体" w:cs="宋体"/>
                <w:spacing w:val="2"/>
                <w:sz w:val="20"/>
                <w:szCs w:val="20"/>
                <w:highlight w:val="none"/>
              </w:rPr>
              <w:t>（</w:t>
            </w:r>
            <w:r>
              <w:rPr>
                <w:rFonts w:hint="eastAsia" w:ascii="Times New Roman" w:hAnsi="Times New Roman" w:eastAsia="宋体" w:cs="Times New Roman"/>
                <w:spacing w:val="2"/>
                <w:sz w:val="20"/>
                <w:szCs w:val="20"/>
                <w:highlight w:val="none"/>
                <w:lang w:val="en-US" w:eastAsia="zh-CN"/>
              </w:rPr>
              <w:t>30</w:t>
            </w:r>
            <w:r>
              <w:rPr>
                <w:rFonts w:ascii="宋体" w:hAnsi="宋体" w:eastAsia="宋体" w:cs="宋体"/>
                <w:spacing w:val="2"/>
                <w:sz w:val="20"/>
                <w:szCs w:val="20"/>
                <w:highlight w:val="none"/>
              </w:rPr>
              <w:t>分）</w:t>
            </w:r>
          </w:p>
        </w:tc>
        <w:tc>
          <w:tcPr>
            <w:tcW w:w="5432" w:type="dxa"/>
            <w:tcBorders>
              <w:bottom w:val="single" w:color="auto" w:sz="4" w:space="0"/>
            </w:tcBorders>
            <w:vAlign w:val="center"/>
          </w:tcPr>
          <w:p w14:paraId="4A794AE7">
            <w:pPr>
              <w:keepNext w:val="0"/>
              <w:keepLines w:val="0"/>
              <w:pageBreakBefore w:val="0"/>
              <w:widowControl/>
              <w:kinsoku w:val="0"/>
              <w:wordWrap/>
              <w:overflowPunct/>
              <w:topLinePunct w:val="0"/>
              <w:autoSpaceDE w:val="0"/>
              <w:autoSpaceDN w:val="0"/>
              <w:bidi w:val="0"/>
              <w:adjustRightInd w:val="0"/>
              <w:snapToGrid w:val="0"/>
              <w:spacing w:line="320" w:lineRule="exact"/>
              <w:jc w:val="both"/>
              <w:textAlignment w:val="baseline"/>
              <w:rPr>
                <w:rFonts w:hint="eastAsia" w:ascii="宋体" w:hAnsi="宋体" w:eastAsia="宋体" w:cs="宋体"/>
                <w:spacing w:val="10"/>
                <w:sz w:val="20"/>
                <w:szCs w:val="20"/>
                <w:highlight w:val="none"/>
                <w:lang w:eastAsia="zh-CN"/>
              </w:rPr>
            </w:pPr>
            <w:r>
              <w:rPr>
                <w:rFonts w:hint="eastAsia" w:ascii="宋体" w:hAnsi="宋体" w:eastAsia="宋体" w:cs="宋体"/>
                <w:spacing w:val="10"/>
                <w:sz w:val="20"/>
                <w:szCs w:val="20"/>
                <w:highlight w:val="none"/>
                <w:lang w:eastAsia="zh-CN"/>
              </w:rPr>
              <w:t>价格分计算公式：某有效供应商价格分=（有效供应商最低评审磋商报价（金额）/某有效供应商评审磋商报价（金额））×</w:t>
            </w:r>
            <w:r>
              <w:rPr>
                <w:rFonts w:hint="eastAsia" w:ascii="宋体" w:hAnsi="宋体" w:eastAsia="宋体" w:cs="宋体"/>
                <w:spacing w:val="10"/>
                <w:sz w:val="20"/>
                <w:szCs w:val="20"/>
                <w:highlight w:val="none"/>
                <w:lang w:val="en-US" w:eastAsia="zh-CN"/>
              </w:rPr>
              <w:t>30</w:t>
            </w:r>
            <w:r>
              <w:rPr>
                <w:rFonts w:hint="eastAsia" w:ascii="宋体" w:hAnsi="宋体" w:eastAsia="宋体" w:cs="宋体"/>
                <w:spacing w:val="10"/>
                <w:sz w:val="20"/>
                <w:szCs w:val="20"/>
                <w:highlight w:val="none"/>
                <w:lang w:eastAsia="zh-CN"/>
              </w:rPr>
              <w:t>分。</w:t>
            </w:r>
          </w:p>
          <w:p w14:paraId="4005C79C">
            <w:pPr>
              <w:keepNext w:val="0"/>
              <w:keepLines w:val="0"/>
              <w:pageBreakBefore w:val="0"/>
              <w:widowControl/>
              <w:kinsoku w:val="0"/>
              <w:wordWrap/>
              <w:overflowPunct/>
              <w:topLinePunct w:val="0"/>
              <w:autoSpaceDE w:val="0"/>
              <w:autoSpaceDN w:val="0"/>
              <w:bidi w:val="0"/>
              <w:adjustRightInd w:val="0"/>
              <w:snapToGrid w:val="0"/>
              <w:spacing w:line="320" w:lineRule="exact"/>
              <w:jc w:val="both"/>
              <w:textAlignment w:val="baseline"/>
              <w:rPr>
                <w:highlight w:val="none"/>
                <w:lang w:eastAsia="zh-CN"/>
              </w:rPr>
            </w:pPr>
            <w:r>
              <w:rPr>
                <w:rFonts w:hint="eastAsia" w:ascii="宋体" w:hAnsi="宋体" w:eastAsia="宋体" w:cs="宋体"/>
                <w:spacing w:val="10"/>
                <w:sz w:val="20"/>
                <w:szCs w:val="20"/>
                <w:highlight w:val="none"/>
                <w:lang w:val="en-US" w:eastAsia="zh-CN"/>
              </w:rPr>
              <w:t>注：</w:t>
            </w:r>
            <w:r>
              <w:rPr>
                <w:rFonts w:hint="eastAsia" w:ascii="宋体" w:hAnsi="宋体" w:eastAsia="宋体" w:cs="宋体"/>
                <w:spacing w:val="10"/>
                <w:sz w:val="20"/>
                <w:szCs w:val="20"/>
                <w:highlight w:val="none"/>
                <w:lang w:eastAsia="zh-CN"/>
              </w:rPr>
              <w:t>根据信财购〔2020〕4号文中六、防范投标企业串标围标及恶意低价行为措施方面，评审专家评审中发现投标人的报价明显低于其他通过符合性审查投标人的报价（建议比控制价低30%的），且该投标人的技术等主要指标有大量或明显故意不符，可能影响采购质量或者项目履约的，应当要求其在评标现场合理的时间内提供书面说明，投标人不能证明其报价合理性的，评标委员会应当将其作为无效投标处理。</w:t>
            </w:r>
          </w:p>
        </w:tc>
        <w:tc>
          <w:tcPr>
            <w:tcW w:w="558" w:type="dxa"/>
            <w:vAlign w:val="center"/>
          </w:tcPr>
          <w:p w14:paraId="6ACF0811">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lang w:val="en-US" w:eastAsia="zh-CN"/>
              </w:rPr>
              <w:t>30</w:t>
            </w:r>
          </w:p>
        </w:tc>
      </w:tr>
      <w:tr w14:paraId="45676AB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68" w:hRule="atLeast"/>
        </w:trPr>
        <w:tc>
          <w:tcPr>
            <w:tcW w:w="638" w:type="dxa"/>
            <w:tcBorders>
              <w:top w:val="single" w:color="auto" w:sz="4" w:space="0"/>
              <w:left w:val="single" w:color="auto" w:sz="4" w:space="0"/>
            </w:tcBorders>
            <w:vAlign w:val="center"/>
          </w:tcPr>
          <w:p w14:paraId="20B1B7EE">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z w:val="20"/>
                <w:szCs w:val="20"/>
              </w:rPr>
              <w:t>2</w:t>
            </w:r>
          </w:p>
        </w:tc>
        <w:tc>
          <w:tcPr>
            <w:tcW w:w="991" w:type="dxa"/>
            <w:vMerge w:val="restart"/>
            <w:tcBorders>
              <w:top w:val="single" w:color="auto" w:sz="4" w:space="0"/>
              <w:bottom w:val="nil"/>
            </w:tcBorders>
            <w:vAlign w:val="center"/>
          </w:tcPr>
          <w:p w14:paraId="4DC3748F">
            <w:pPr>
              <w:keepNext w:val="0"/>
              <w:keepLines w:val="0"/>
              <w:pageBreakBefore w:val="0"/>
              <w:widowControl/>
              <w:kinsoku w:val="0"/>
              <w:wordWrap/>
              <w:overflowPunct/>
              <w:topLinePunct w:val="0"/>
              <w:autoSpaceDE w:val="0"/>
              <w:autoSpaceDN w:val="0"/>
              <w:bidi w:val="0"/>
              <w:adjustRightInd w:val="0"/>
              <w:snapToGrid w:val="0"/>
              <w:spacing w:line="320" w:lineRule="exact"/>
              <w:ind w:firstLine="20"/>
              <w:jc w:val="center"/>
              <w:textAlignment w:val="baseline"/>
              <w:rPr>
                <w:rFonts w:ascii="宋体" w:hAnsi="宋体" w:eastAsia="宋体" w:cs="宋体"/>
                <w:sz w:val="20"/>
                <w:szCs w:val="20"/>
                <w:highlight w:val="none"/>
              </w:rPr>
            </w:pPr>
            <w:r>
              <w:rPr>
                <w:rFonts w:hint="eastAsia" w:ascii="宋体" w:hAnsi="宋体" w:eastAsia="宋体" w:cs="宋体"/>
                <w:spacing w:val="6"/>
                <w:sz w:val="20"/>
                <w:szCs w:val="20"/>
                <w:highlight w:val="none"/>
              </w:rPr>
              <w:t>技术</w:t>
            </w:r>
            <w:r>
              <w:rPr>
                <w:rFonts w:ascii="宋体" w:hAnsi="宋体" w:eastAsia="宋体" w:cs="宋体"/>
                <w:spacing w:val="6"/>
                <w:sz w:val="20"/>
                <w:szCs w:val="20"/>
                <w:highlight w:val="none"/>
              </w:rPr>
              <w:t>部分</w:t>
            </w:r>
            <w:r>
              <w:rPr>
                <w:rFonts w:ascii="宋体" w:hAnsi="宋体" w:eastAsia="宋体" w:cs="宋体"/>
                <w:spacing w:val="2"/>
                <w:sz w:val="20"/>
                <w:szCs w:val="20"/>
                <w:highlight w:val="none"/>
              </w:rPr>
              <w:t xml:space="preserve"> </w:t>
            </w:r>
            <w:r>
              <w:rPr>
                <w:rFonts w:ascii="宋体" w:hAnsi="宋体" w:eastAsia="宋体" w:cs="宋体"/>
                <w:spacing w:val="-3"/>
                <w:sz w:val="20"/>
                <w:szCs w:val="20"/>
                <w:highlight w:val="none"/>
              </w:rPr>
              <w:t>（</w:t>
            </w:r>
            <w:r>
              <w:rPr>
                <w:rFonts w:hint="eastAsia" w:ascii="宋体" w:hAnsi="宋体" w:eastAsia="宋体" w:cs="宋体"/>
                <w:spacing w:val="-3"/>
                <w:sz w:val="20"/>
                <w:szCs w:val="20"/>
                <w:highlight w:val="none"/>
                <w:lang w:val="en-US" w:eastAsia="zh-CN"/>
              </w:rPr>
              <w:t>15</w:t>
            </w:r>
            <w:r>
              <w:rPr>
                <w:rFonts w:ascii="宋体" w:hAnsi="宋体" w:eastAsia="宋体" w:cs="宋体"/>
                <w:spacing w:val="-3"/>
                <w:sz w:val="20"/>
                <w:szCs w:val="20"/>
                <w:highlight w:val="none"/>
              </w:rPr>
              <w:t>分）</w:t>
            </w:r>
          </w:p>
        </w:tc>
        <w:tc>
          <w:tcPr>
            <w:tcW w:w="1210" w:type="dxa"/>
            <w:tcBorders>
              <w:top w:val="single" w:color="auto" w:sz="4" w:space="0"/>
            </w:tcBorders>
            <w:vAlign w:val="center"/>
          </w:tcPr>
          <w:p w14:paraId="0334CEBA">
            <w:pPr>
              <w:keepNext w:val="0"/>
              <w:keepLines w:val="0"/>
              <w:pageBreakBefore w:val="0"/>
              <w:widowControl/>
              <w:kinsoku w:val="0"/>
              <w:wordWrap/>
              <w:overflowPunct/>
              <w:topLinePunct w:val="0"/>
              <w:autoSpaceDE w:val="0"/>
              <w:autoSpaceDN w:val="0"/>
              <w:bidi w:val="0"/>
              <w:adjustRightInd w:val="0"/>
              <w:snapToGrid w:val="0"/>
              <w:spacing w:line="320" w:lineRule="exact"/>
              <w:ind w:firstLine="19"/>
              <w:jc w:val="center"/>
              <w:textAlignment w:val="baseline"/>
              <w:rPr>
                <w:rFonts w:ascii="宋体" w:hAnsi="宋体" w:eastAsia="宋体" w:cs="宋体"/>
                <w:sz w:val="20"/>
                <w:szCs w:val="20"/>
                <w:highlight w:val="none"/>
                <w:lang w:eastAsia="zh-CN"/>
              </w:rPr>
            </w:pPr>
            <w:r>
              <w:rPr>
                <w:rFonts w:hint="eastAsia" w:ascii="宋体" w:hAnsi="宋体" w:eastAsia="宋体" w:cs="宋体"/>
                <w:sz w:val="20"/>
                <w:szCs w:val="20"/>
                <w:highlight w:val="none"/>
                <w:lang w:eastAsia="zh-CN"/>
              </w:rPr>
              <w:t>项目技术方案质量</w:t>
            </w:r>
          </w:p>
          <w:p w14:paraId="725EEA88">
            <w:pPr>
              <w:keepNext w:val="0"/>
              <w:keepLines w:val="0"/>
              <w:pageBreakBefore w:val="0"/>
              <w:widowControl/>
              <w:kinsoku w:val="0"/>
              <w:wordWrap/>
              <w:overflowPunct/>
              <w:topLinePunct w:val="0"/>
              <w:autoSpaceDE w:val="0"/>
              <w:autoSpaceDN w:val="0"/>
              <w:bidi w:val="0"/>
              <w:adjustRightInd w:val="0"/>
              <w:snapToGrid w:val="0"/>
              <w:spacing w:line="320" w:lineRule="exact"/>
              <w:ind w:firstLine="19"/>
              <w:jc w:val="center"/>
              <w:textAlignment w:val="baseline"/>
              <w:rPr>
                <w:rFonts w:ascii="宋体" w:hAnsi="宋体" w:eastAsia="宋体" w:cs="宋体"/>
                <w:sz w:val="20"/>
                <w:szCs w:val="20"/>
                <w:highlight w:val="none"/>
                <w:lang w:eastAsia="zh-CN"/>
              </w:rPr>
            </w:pPr>
            <w:r>
              <w:rPr>
                <w:rFonts w:ascii="宋体" w:hAnsi="宋体" w:eastAsia="宋体" w:cs="宋体"/>
                <w:spacing w:val="-2"/>
                <w:sz w:val="20"/>
                <w:szCs w:val="20"/>
                <w:highlight w:val="none"/>
                <w:lang w:eastAsia="zh-CN"/>
              </w:rPr>
              <w:t>（</w:t>
            </w:r>
            <w:r>
              <w:rPr>
                <w:rFonts w:hint="eastAsia" w:ascii="Times New Roman" w:hAnsi="Times New Roman" w:eastAsia="宋体" w:cs="Times New Roman"/>
                <w:spacing w:val="-2"/>
                <w:sz w:val="20"/>
                <w:szCs w:val="20"/>
                <w:highlight w:val="none"/>
                <w:lang w:val="en-US" w:eastAsia="zh-CN"/>
              </w:rPr>
              <w:t>5</w:t>
            </w:r>
            <w:r>
              <w:rPr>
                <w:rFonts w:ascii="宋体" w:hAnsi="宋体" w:eastAsia="宋体" w:cs="宋体"/>
                <w:spacing w:val="-2"/>
                <w:sz w:val="20"/>
                <w:szCs w:val="20"/>
                <w:highlight w:val="none"/>
                <w:lang w:eastAsia="zh-CN"/>
              </w:rPr>
              <w:t>分）</w:t>
            </w:r>
          </w:p>
        </w:tc>
        <w:tc>
          <w:tcPr>
            <w:tcW w:w="5432" w:type="dxa"/>
            <w:tcBorders>
              <w:top w:val="single" w:color="auto" w:sz="4" w:space="0"/>
              <w:right w:val="single" w:color="auto" w:sz="4" w:space="0"/>
            </w:tcBorders>
            <w:vAlign w:val="center"/>
          </w:tcPr>
          <w:p w14:paraId="3712463C">
            <w:pPr>
              <w:spacing w:line="257" w:lineRule="auto"/>
              <w:ind w:right="1"/>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一档：总体工作方案和项目大纲完整详细，对项目总体情况介绍清楚，分析透彻、全面、科学合理，建议有前瞻性和指导性和可操作性强的得（</w:t>
            </w:r>
            <w:r>
              <w:rPr>
                <w:rFonts w:hint="eastAsia" w:ascii="宋体" w:hAnsi="宋体" w:eastAsia="宋体" w:cs="宋体"/>
                <w:color w:val="auto"/>
                <w:sz w:val="20"/>
                <w:szCs w:val="20"/>
                <w:highlight w:val="none"/>
                <w:lang w:val="en-US" w:eastAsia="zh-CN"/>
              </w:rPr>
              <w:t>5</w:t>
            </w:r>
            <w:r>
              <w:rPr>
                <w:rFonts w:hint="eastAsia" w:ascii="宋体" w:hAnsi="宋体" w:eastAsia="宋体" w:cs="宋体"/>
                <w:color w:val="auto"/>
                <w:sz w:val="20"/>
                <w:szCs w:val="20"/>
                <w:highlight w:val="none"/>
                <w:lang w:eastAsia="zh-CN"/>
              </w:rPr>
              <w:t>分）；</w:t>
            </w:r>
          </w:p>
          <w:p w14:paraId="40A7F5C3">
            <w:pPr>
              <w:spacing w:line="257" w:lineRule="auto"/>
              <w:ind w:right="1"/>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二档：总体工作方案和项目大纲较为清晰，项目介绍较清楚，分析较透彻、合理，建议有一定的价值、具有一定的可操作性的得（</w:t>
            </w:r>
            <w:r>
              <w:rPr>
                <w:rFonts w:hint="eastAsia" w:ascii="宋体" w:hAnsi="宋体" w:eastAsia="宋体" w:cs="宋体"/>
                <w:color w:val="auto"/>
                <w:sz w:val="20"/>
                <w:szCs w:val="20"/>
                <w:highlight w:val="none"/>
                <w:lang w:val="en-US" w:eastAsia="zh-CN"/>
              </w:rPr>
              <w:t>3</w:t>
            </w:r>
            <w:r>
              <w:rPr>
                <w:rFonts w:hint="eastAsia" w:ascii="宋体" w:hAnsi="宋体" w:eastAsia="宋体" w:cs="宋体"/>
                <w:color w:val="auto"/>
                <w:sz w:val="20"/>
                <w:szCs w:val="20"/>
                <w:highlight w:val="none"/>
                <w:lang w:eastAsia="zh-CN"/>
              </w:rPr>
              <w:t>分）；</w:t>
            </w:r>
          </w:p>
          <w:p w14:paraId="287378E5">
            <w:pPr>
              <w:spacing w:line="257" w:lineRule="auto"/>
              <w:ind w:right="1"/>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三档：总体工作方案和项目大纲基本全面，项目介绍基本清楚，内容分析一般，思路基本清晰的得（</w:t>
            </w:r>
            <w:r>
              <w:rPr>
                <w:rFonts w:hint="eastAsia" w:ascii="宋体" w:hAnsi="宋体" w:eastAsia="宋体" w:cs="宋体"/>
                <w:color w:val="auto"/>
                <w:sz w:val="20"/>
                <w:szCs w:val="20"/>
                <w:highlight w:val="none"/>
                <w:lang w:val="en-US" w:eastAsia="zh-CN"/>
              </w:rPr>
              <w:t>2</w:t>
            </w:r>
            <w:r>
              <w:rPr>
                <w:rFonts w:hint="eastAsia" w:ascii="宋体" w:hAnsi="宋体" w:eastAsia="宋体" w:cs="宋体"/>
                <w:color w:val="auto"/>
                <w:sz w:val="20"/>
                <w:szCs w:val="20"/>
                <w:highlight w:val="none"/>
                <w:lang w:eastAsia="zh-CN"/>
              </w:rPr>
              <w:t>分）。</w:t>
            </w:r>
          </w:p>
          <w:p w14:paraId="5D1D8011">
            <w:pPr>
              <w:pStyle w:val="2"/>
              <w:keepNext w:val="0"/>
              <w:keepLines w:val="0"/>
              <w:pageBreakBefore w:val="0"/>
              <w:widowControl/>
              <w:kinsoku w:val="0"/>
              <w:wordWrap/>
              <w:overflowPunct/>
              <w:topLinePunct w:val="0"/>
              <w:autoSpaceDE w:val="0"/>
              <w:autoSpaceDN w:val="0"/>
              <w:bidi w:val="0"/>
              <w:adjustRightInd w:val="0"/>
              <w:snapToGrid w:val="0"/>
              <w:spacing w:line="320" w:lineRule="exact"/>
              <w:ind w:left="0" w:leftChars="0" w:firstLine="0" w:firstLineChars="0"/>
              <w:textAlignment w:val="baseline"/>
              <w:rPr>
                <w:lang w:eastAsia="zh-CN"/>
              </w:rPr>
            </w:pPr>
            <w:r>
              <w:rPr>
                <w:rFonts w:hint="eastAsia" w:ascii="宋体" w:hAnsi="宋体" w:eastAsia="宋体" w:cs="宋体"/>
                <w:color w:val="auto"/>
                <w:sz w:val="20"/>
                <w:szCs w:val="20"/>
                <w:highlight w:val="none"/>
                <w:lang w:eastAsia="zh-CN"/>
              </w:rPr>
              <w:t>未提供者不得分。</w:t>
            </w:r>
          </w:p>
        </w:tc>
        <w:tc>
          <w:tcPr>
            <w:tcW w:w="558" w:type="dxa"/>
            <w:tcBorders>
              <w:left w:val="single" w:color="auto" w:sz="4" w:space="0"/>
            </w:tcBorders>
            <w:vAlign w:val="center"/>
          </w:tcPr>
          <w:p w14:paraId="5488C3EF">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pacing w:val="-8"/>
                <w:sz w:val="20"/>
                <w:szCs w:val="20"/>
                <w:highlight w:val="none"/>
                <w:lang w:val="en-US" w:eastAsia="zh-CN"/>
              </w:rPr>
              <w:t>5</w:t>
            </w:r>
          </w:p>
        </w:tc>
      </w:tr>
      <w:tr w14:paraId="1C6FD2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540" w:hRule="atLeast"/>
        </w:trPr>
        <w:tc>
          <w:tcPr>
            <w:tcW w:w="638" w:type="dxa"/>
            <w:tcBorders>
              <w:left w:val="single" w:color="auto" w:sz="4" w:space="0"/>
            </w:tcBorders>
            <w:vAlign w:val="center"/>
          </w:tcPr>
          <w:p w14:paraId="66CFB3B9">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z w:val="20"/>
                <w:szCs w:val="20"/>
              </w:rPr>
              <w:t>3</w:t>
            </w:r>
          </w:p>
        </w:tc>
        <w:tc>
          <w:tcPr>
            <w:tcW w:w="991" w:type="dxa"/>
            <w:vMerge w:val="continue"/>
            <w:tcBorders>
              <w:top w:val="nil"/>
              <w:bottom w:val="nil"/>
            </w:tcBorders>
            <w:vAlign w:val="center"/>
          </w:tcPr>
          <w:p w14:paraId="4CB1BAF1">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highlight w:val="none"/>
              </w:rPr>
            </w:pPr>
          </w:p>
        </w:tc>
        <w:tc>
          <w:tcPr>
            <w:tcW w:w="1210" w:type="dxa"/>
            <w:vAlign w:val="center"/>
          </w:tcPr>
          <w:p w14:paraId="783FB631">
            <w:pPr>
              <w:keepNext w:val="0"/>
              <w:keepLines w:val="0"/>
              <w:pageBreakBefore w:val="0"/>
              <w:widowControl/>
              <w:kinsoku w:val="0"/>
              <w:wordWrap/>
              <w:overflowPunct/>
              <w:topLinePunct w:val="0"/>
              <w:autoSpaceDE w:val="0"/>
              <w:autoSpaceDN w:val="0"/>
              <w:bidi w:val="0"/>
              <w:adjustRightInd w:val="0"/>
              <w:snapToGrid w:val="0"/>
              <w:spacing w:line="320" w:lineRule="exact"/>
              <w:ind w:hanging="8"/>
              <w:jc w:val="center"/>
              <w:textAlignment w:val="baseline"/>
              <w:rPr>
                <w:rFonts w:ascii="宋体" w:hAnsi="宋体" w:eastAsia="宋体" w:cs="宋体"/>
                <w:spacing w:val="2"/>
                <w:sz w:val="20"/>
                <w:szCs w:val="20"/>
                <w:highlight w:val="none"/>
                <w:lang w:eastAsia="zh-CN"/>
              </w:rPr>
            </w:pPr>
            <w:r>
              <w:rPr>
                <w:rFonts w:hint="eastAsia" w:ascii="宋体" w:hAnsi="宋体" w:eastAsia="宋体" w:cs="宋体"/>
                <w:spacing w:val="2"/>
                <w:sz w:val="20"/>
                <w:szCs w:val="20"/>
                <w:highlight w:val="none"/>
                <w:lang w:eastAsia="zh-CN"/>
              </w:rPr>
              <w:t>对本项目预期成果响应度</w:t>
            </w:r>
            <w:r>
              <w:rPr>
                <w:rFonts w:ascii="宋体" w:hAnsi="宋体" w:eastAsia="宋体" w:cs="宋体"/>
                <w:spacing w:val="2"/>
                <w:sz w:val="20"/>
                <w:szCs w:val="20"/>
                <w:highlight w:val="none"/>
                <w:lang w:eastAsia="zh-CN"/>
              </w:rPr>
              <w:t xml:space="preserve"> </w:t>
            </w:r>
          </w:p>
          <w:p w14:paraId="1933F536">
            <w:pPr>
              <w:keepNext w:val="0"/>
              <w:keepLines w:val="0"/>
              <w:pageBreakBefore w:val="0"/>
              <w:widowControl/>
              <w:kinsoku w:val="0"/>
              <w:wordWrap/>
              <w:overflowPunct/>
              <w:topLinePunct w:val="0"/>
              <w:autoSpaceDE w:val="0"/>
              <w:autoSpaceDN w:val="0"/>
              <w:bidi w:val="0"/>
              <w:adjustRightInd w:val="0"/>
              <w:snapToGrid w:val="0"/>
              <w:spacing w:line="320" w:lineRule="exact"/>
              <w:ind w:hanging="8"/>
              <w:jc w:val="center"/>
              <w:textAlignment w:val="baseline"/>
              <w:rPr>
                <w:rFonts w:ascii="宋体" w:hAnsi="宋体" w:eastAsia="宋体" w:cs="宋体"/>
                <w:sz w:val="20"/>
                <w:szCs w:val="20"/>
                <w:highlight w:val="none"/>
              </w:rPr>
            </w:pPr>
            <w:r>
              <w:rPr>
                <w:rFonts w:ascii="宋体" w:hAnsi="宋体" w:eastAsia="宋体" w:cs="宋体"/>
                <w:spacing w:val="2"/>
                <w:sz w:val="20"/>
                <w:szCs w:val="20"/>
                <w:highlight w:val="none"/>
              </w:rPr>
              <w:t>（</w:t>
            </w:r>
            <w:r>
              <w:rPr>
                <w:rFonts w:hint="eastAsia" w:ascii="Times New Roman" w:hAnsi="Times New Roman" w:eastAsia="宋体" w:cs="Times New Roman"/>
                <w:spacing w:val="2"/>
                <w:sz w:val="20"/>
                <w:szCs w:val="20"/>
                <w:highlight w:val="none"/>
                <w:lang w:val="en-US" w:eastAsia="zh-CN"/>
              </w:rPr>
              <w:t>5</w:t>
            </w:r>
            <w:r>
              <w:rPr>
                <w:rFonts w:ascii="宋体" w:hAnsi="宋体" w:eastAsia="宋体" w:cs="宋体"/>
                <w:spacing w:val="2"/>
                <w:sz w:val="20"/>
                <w:szCs w:val="20"/>
                <w:highlight w:val="none"/>
              </w:rPr>
              <w:t>分）</w:t>
            </w:r>
          </w:p>
        </w:tc>
        <w:tc>
          <w:tcPr>
            <w:tcW w:w="5432" w:type="dxa"/>
            <w:tcBorders>
              <w:right w:val="single" w:color="auto" w:sz="4" w:space="0"/>
            </w:tcBorders>
            <w:vAlign w:val="center"/>
          </w:tcPr>
          <w:p w14:paraId="73DEDE5C">
            <w:pPr>
              <w:spacing w:line="258" w:lineRule="auto"/>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一档：工作分析、理解透彻，掌握项目服务目的，方案提出的预期成果内容丰富，优于采购文件要求的得（</w:t>
            </w:r>
            <w:r>
              <w:rPr>
                <w:rFonts w:hint="eastAsia" w:ascii="宋体" w:hAnsi="宋体" w:eastAsia="宋体" w:cs="宋体"/>
                <w:color w:val="auto"/>
                <w:sz w:val="20"/>
                <w:szCs w:val="20"/>
                <w:highlight w:val="none"/>
                <w:lang w:val="en-US" w:eastAsia="zh-CN"/>
              </w:rPr>
              <w:t>5</w:t>
            </w:r>
            <w:r>
              <w:rPr>
                <w:rFonts w:hint="eastAsia" w:ascii="宋体" w:hAnsi="宋体" w:eastAsia="宋体" w:cs="宋体"/>
                <w:color w:val="auto"/>
                <w:sz w:val="20"/>
                <w:szCs w:val="20"/>
                <w:highlight w:val="none"/>
                <w:lang w:eastAsia="zh-CN"/>
              </w:rPr>
              <w:t>分）；</w:t>
            </w:r>
          </w:p>
          <w:p w14:paraId="5591D8C3">
            <w:pPr>
              <w:spacing w:line="258" w:lineRule="auto"/>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二档：基本掌握项目研究目的，理解较准确，方案提出的预期成果较为符合招标文件要求（</w:t>
            </w:r>
            <w:r>
              <w:rPr>
                <w:rFonts w:hint="eastAsia" w:ascii="宋体" w:hAnsi="宋体" w:eastAsia="宋体" w:cs="宋体"/>
                <w:color w:val="auto"/>
                <w:sz w:val="20"/>
                <w:szCs w:val="20"/>
                <w:highlight w:val="none"/>
                <w:lang w:val="en-US" w:eastAsia="zh-CN"/>
              </w:rPr>
              <w:t>3</w:t>
            </w:r>
            <w:r>
              <w:rPr>
                <w:rFonts w:hint="eastAsia" w:ascii="宋体" w:hAnsi="宋体" w:eastAsia="宋体" w:cs="宋体"/>
                <w:color w:val="auto"/>
                <w:sz w:val="20"/>
                <w:szCs w:val="20"/>
                <w:highlight w:val="none"/>
                <w:lang w:eastAsia="zh-CN"/>
              </w:rPr>
              <w:t>分）；</w:t>
            </w:r>
          </w:p>
          <w:p w14:paraId="5DF3C1BD">
            <w:pPr>
              <w:spacing w:line="258" w:lineRule="auto"/>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三档：方案理解一般，提出的预期成果基本符合满足采购文件要求的得（</w:t>
            </w:r>
            <w:r>
              <w:rPr>
                <w:rFonts w:hint="eastAsia" w:ascii="宋体" w:hAnsi="宋体" w:eastAsia="宋体" w:cs="宋体"/>
                <w:color w:val="auto"/>
                <w:sz w:val="20"/>
                <w:szCs w:val="20"/>
                <w:highlight w:val="none"/>
                <w:lang w:val="en-US" w:eastAsia="zh-CN"/>
              </w:rPr>
              <w:t>2</w:t>
            </w:r>
            <w:r>
              <w:rPr>
                <w:rFonts w:hint="eastAsia" w:ascii="宋体" w:hAnsi="宋体" w:eastAsia="宋体" w:cs="宋体"/>
                <w:color w:val="auto"/>
                <w:sz w:val="20"/>
                <w:szCs w:val="20"/>
                <w:highlight w:val="none"/>
                <w:lang w:eastAsia="zh-CN"/>
              </w:rPr>
              <w:t>分）。</w:t>
            </w:r>
          </w:p>
          <w:p w14:paraId="10378773">
            <w:pPr>
              <w:pStyle w:val="2"/>
              <w:keepNext w:val="0"/>
              <w:keepLines w:val="0"/>
              <w:pageBreakBefore w:val="0"/>
              <w:widowControl/>
              <w:kinsoku w:val="0"/>
              <w:wordWrap/>
              <w:overflowPunct/>
              <w:topLinePunct w:val="0"/>
              <w:autoSpaceDE w:val="0"/>
              <w:autoSpaceDN w:val="0"/>
              <w:bidi w:val="0"/>
              <w:adjustRightInd w:val="0"/>
              <w:snapToGrid w:val="0"/>
              <w:spacing w:line="320" w:lineRule="exact"/>
              <w:ind w:left="0" w:leftChars="0" w:firstLine="0" w:firstLineChars="0"/>
              <w:textAlignment w:val="baseline"/>
              <w:rPr>
                <w:lang w:eastAsia="zh-CN"/>
              </w:rPr>
            </w:pPr>
            <w:r>
              <w:rPr>
                <w:rFonts w:hint="eastAsia" w:ascii="宋体" w:hAnsi="宋体" w:eastAsia="宋体" w:cs="宋体"/>
                <w:color w:val="auto"/>
                <w:sz w:val="20"/>
                <w:szCs w:val="20"/>
                <w:highlight w:val="none"/>
                <w:lang w:eastAsia="zh-CN"/>
              </w:rPr>
              <w:t>未提供者不得分。</w:t>
            </w:r>
          </w:p>
        </w:tc>
        <w:tc>
          <w:tcPr>
            <w:tcW w:w="558" w:type="dxa"/>
            <w:tcBorders>
              <w:left w:val="single" w:color="auto" w:sz="4" w:space="0"/>
            </w:tcBorders>
            <w:vAlign w:val="center"/>
          </w:tcPr>
          <w:p w14:paraId="773AF243">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pacing w:val="-8"/>
                <w:sz w:val="20"/>
                <w:szCs w:val="20"/>
                <w:highlight w:val="none"/>
                <w:lang w:val="en-US" w:eastAsia="zh-CN"/>
              </w:rPr>
              <w:t>5</w:t>
            </w:r>
          </w:p>
        </w:tc>
      </w:tr>
      <w:tr w14:paraId="034972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270" w:hRule="atLeast"/>
        </w:trPr>
        <w:tc>
          <w:tcPr>
            <w:tcW w:w="638" w:type="dxa"/>
            <w:tcBorders>
              <w:left w:val="single" w:color="auto" w:sz="4" w:space="0"/>
              <w:bottom w:val="single" w:color="auto" w:sz="4" w:space="0"/>
            </w:tcBorders>
            <w:vAlign w:val="center"/>
          </w:tcPr>
          <w:p w14:paraId="5D5B4B3C">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1"/>
                <w:sz w:val="20"/>
                <w:szCs w:val="20"/>
              </w:rPr>
              <w:t>4</w:t>
            </w:r>
          </w:p>
        </w:tc>
        <w:tc>
          <w:tcPr>
            <w:tcW w:w="991" w:type="dxa"/>
            <w:vMerge w:val="continue"/>
            <w:tcBorders>
              <w:top w:val="nil"/>
              <w:bottom w:val="single" w:color="auto" w:sz="4" w:space="0"/>
            </w:tcBorders>
            <w:vAlign w:val="center"/>
          </w:tcPr>
          <w:p w14:paraId="71EF0262">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highlight w:val="none"/>
              </w:rPr>
            </w:pPr>
          </w:p>
        </w:tc>
        <w:tc>
          <w:tcPr>
            <w:tcW w:w="1210" w:type="dxa"/>
            <w:tcBorders>
              <w:bottom w:val="single" w:color="auto" w:sz="4" w:space="0"/>
            </w:tcBorders>
            <w:vAlign w:val="center"/>
          </w:tcPr>
          <w:p w14:paraId="2625163A">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highlight w:val="none"/>
                <w:lang w:eastAsia="zh-CN"/>
              </w:rPr>
            </w:pPr>
            <w:r>
              <w:rPr>
                <w:rFonts w:hint="eastAsia" w:ascii="宋体" w:hAnsi="宋体" w:eastAsia="宋体" w:cs="宋体"/>
                <w:sz w:val="20"/>
                <w:szCs w:val="20"/>
                <w:highlight w:val="none"/>
                <w:lang w:eastAsia="zh-CN"/>
              </w:rPr>
              <w:t>项目工作保障措施</w:t>
            </w:r>
          </w:p>
          <w:p w14:paraId="27468C2F">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highlight w:val="none"/>
                <w:lang w:eastAsia="zh-CN"/>
              </w:rPr>
            </w:pPr>
            <w:r>
              <w:rPr>
                <w:rFonts w:ascii="宋体" w:hAnsi="宋体" w:eastAsia="宋体" w:cs="宋体"/>
                <w:spacing w:val="1"/>
                <w:sz w:val="20"/>
                <w:szCs w:val="20"/>
                <w:highlight w:val="none"/>
                <w:lang w:eastAsia="zh-CN"/>
              </w:rPr>
              <w:t>（</w:t>
            </w:r>
            <w:r>
              <w:rPr>
                <w:rFonts w:hint="eastAsia" w:ascii="Times New Roman" w:hAnsi="Times New Roman" w:eastAsia="宋体" w:cs="Times New Roman"/>
                <w:spacing w:val="1"/>
                <w:sz w:val="20"/>
                <w:szCs w:val="20"/>
                <w:highlight w:val="none"/>
                <w:lang w:val="en-US" w:eastAsia="zh-CN"/>
              </w:rPr>
              <w:t>5</w:t>
            </w:r>
            <w:r>
              <w:rPr>
                <w:rFonts w:ascii="宋体" w:hAnsi="宋体" w:eastAsia="宋体" w:cs="宋体"/>
                <w:spacing w:val="1"/>
                <w:sz w:val="20"/>
                <w:szCs w:val="20"/>
                <w:highlight w:val="none"/>
                <w:lang w:eastAsia="zh-CN"/>
              </w:rPr>
              <w:t>分）</w:t>
            </w:r>
          </w:p>
        </w:tc>
        <w:tc>
          <w:tcPr>
            <w:tcW w:w="5432" w:type="dxa"/>
            <w:tcBorders>
              <w:bottom w:val="single" w:color="auto" w:sz="4" w:space="0"/>
              <w:right w:val="single" w:color="auto" w:sz="4" w:space="0"/>
            </w:tcBorders>
            <w:vAlign w:val="center"/>
          </w:tcPr>
          <w:p w14:paraId="13719FE2">
            <w:pPr>
              <w:spacing w:line="268" w:lineRule="auto"/>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一档：服务质量保证措施及实施方案详细、全面，切实可行，研究力量强，人员及设备配置充足、科学，任务分配及实施规划合理，具有良好的组织架构、管理措施及组织保障计划的得（</w:t>
            </w:r>
            <w:r>
              <w:rPr>
                <w:rFonts w:hint="eastAsia" w:ascii="宋体" w:hAnsi="宋体" w:eastAsia="宋体" w:cs="宋体"/>
                <w:color w:val="auto"/>
                <w:sz w:val="20"/>
                <w:szCs w:val="20"/>
                <w:highlight w:val="none"/>
                <w:lang w:val="en-US" w:eastAsia="zh-CN"/>
              </w:rPr>
              <w:t>5</w:t>
            </w:r>
            <w:r>
              <w:rPr>
                <w:rFonts w:hint="eastAsia" w:ascii="宋体" w:hAnsi="宋体" w:eastAsia="宋体" w:cs="宋体"/>
                <w:color w:val="auto"/>
                <w:sz w:val="20"/>
                <w:szCs w:val="20"/>
                <w:highlight w:val="none"/>
                <w:lang w:eastAsia="zh-CN"/>
              </w:rPr>
              <w:t>分）；</w:t>
            </w:r>
          </w:p>
          <w:p w14:paraId="43CA6B68">
            <w:pPr>
              <w:spacing w:line="268" w:lineRule="auto"/>
              <w:jc w:val="both"/>
              <w:rPr>
                <w:rFonts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二档：服务质量保证措施及实施方案比较详细，方案中人员结构、设备配置、任务分配、实施规划比较合理，较强的研究力量，具有一定的管理措施的得（</w:t>
            </w:r>
            <w:r>
              <w:rPr>
                <w:rFonts w:hint="eastAsia" w:ascii="宋体" w:hAnsi="宋体" w:eastAsia="宋体" w:cs="宋体"/>
                <w:color w:val="auto"/>
                <w:sz w:val="20"/>
                <w:szCs w:val="20"/>
                <w:highlight w:val="none"/>
                <w:lang w:val="en-US" w:eastAsia="zh-CN"/>
              </w:rPr>
              <w:t>3</w:t>
            </w:r>
            <w:r>
              <w:rPr>
                <w:rFonts w:hint="eastAsia" w:ascii="宋体" w:hAnsi="宋体" w:eastAsia="宋体" w:cs="宋体"/>
                <w:color w:val="auto"/>
                <w:sz w:val="20"/>
                <w:szCs w:val="20"/>
                <w:highlight w:val="none"/>
                <w:lang w:eastAsia="zh-CN"/>
              </w:rPr>
              <w:t>分）；</w:t>
            </w:r>
          </w:p>
          <w:p w14:paraId="11EE6A39">
            <w:pPr>
              <w:spacing w:line="268" w:lineRule="auto"/>
              <w:jc w:val="both"/>
              <w:rPr>
                <w:rFonts w:hint="eastAsia" w:ascii="宋体" w:hAnsi="宋体" w:eastAsia="宋体" w:cs="宋体"/>
                <w:color w:val="auto"/>
                <w:sz w:val="20"/>
                <w:szCs w:val="20"/>
                <w:highlight w:val="none"/>
                <w:lang w:eastAsia="zh-CN"/>
              </w:rPr>
            </w:pPr>
            <w:r>
              <w:rPr>
                <w:rFonts w:hint="eastAsia" w:ascii="宋体" w:hAnsi="宋体" w:eastAsia="宋体" w:cs="宋体"/>
                <w:color w:val="auto"/>
                <w:sz w:val="20"/>
                <w:szCs w:val="20"/>
                <w:highlight w:val="none"/>
                <w:lang w:eastAsia="zh-CN"/>
              </w:rPr>
              <w:t>三档：服务质量保证措施及实施方案比较简单，方案中人员结构、任务分配、实施规划、研究能力等一般，基本能保证项目如期完成的得（</w:t>
            </w:r>
            <w:r>
              <w:rPr>
                <w:rFonts w:hint="eastAsia" w:ascii="宋体" w:hAnsi="宋体" w:eastAsia="宋体" w:cs="宋体"/>
                <w:color w:val="auto"/>
                <w:sz w:val="20"/>
                <w:szCs w:val="20"/>
                <w:highlight w:val="none"/>
                <w:lang w:val="en-US" w:eastAsia="zh-CN"/>
              </w:rPr>
              <w:t>2</w:t>
            </w:r>
            <w:r>
              <w:rPr>
                <w:rFonts w:hint="eastAsia" w:ascii="宋体" w:hAnsi="宋体" w:eastAsia="宋体" w:cs="宋体"/>
                <w:color w:val="auto"/>
                <w:sz w:val="20"/>
                <w:szCs w:val="20"/>
                <w:highlight w:val="none"/>
                <w:lang w:eastAsia="zh-CN"/>
              </w:rPr>
              <w:t>分）。</w:t>
            </w:r>
          </w:p>
          <w:p w14:paraId="08F66D61">
            <w:pPr>
              <w:pStyle w:val="2"/>
              <w:keepNext w:val="0"/>
              <w:keepLines w:val="0"/>
              <w:pageBreakBefore w:val="0"/>
              <w:widowControl/>
              <w:kinsoku w:val="0"/>
              <w:wordWrap/>
              <w:overflowPunct/>
              <w:topLinePunct w:val="0"/>
              <w:autoSpaceDE w:val="0"/>
              <w:autoSpaceDN w:val="0"/>
              <w:bidi w:val="0"/>
              <w:adjustRightInd w:val="0"/>
              <w:snapToGrid w:val="0"/>
              <w:spacing w:line="320" w:lineRule="exact"/>
              <w:ind w:left="0" w:leftChars="0" w:firstLine="0" w:firstLineChars="0"/>
              <w:textAlignment w:val="baseline"/>
              <w:rPr>
                <w:lang w:eastAsia="zh-CN"/>
              </w:rPr>
            </w:pPr>
            <w:r>
              <w:rPr>
                <w:rFonts w:hint="eastAsia" w:ascii="宋体" w:hAnsi="宋体" w:eastAsia="宋体" w:cs="宋体"/>
                <w:color w:val="auto"/>
                <w:sz w:val="20"/>
                <w:szCs w:val="20"/>
                <w:highlight w:val="none"/>
                <w:lang w:eastAsia="zh-CN"/>
              </w:rPr>
              <w:t>未提供者不得分。</w:t>
            </w:r>
          </w:p>
        </w:tc>
        <w:tc>
          <w:tcPr>
            <w:tcW w:w="558" w:type="dxa"/>
            <w:tcBorders>
              <w:left w:val="single" w:color="auto" w:sz="4" w:space="0"/>
            </w:tcBorders>
            <w:vAlign w:val="center"/>
          </w:tcPr>
          <w:p w14:paraId="41B8A8C8">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lang w:val="en-US" w:eastAsia="zh-CN"/>
              </w:rPr>
              <w:t>5</w:t>
            </w:r>
          </w:p>
        </w:tc>
      </w:tr>
      <w:tr w14:paraId="48B3472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08" w:hRule="atLeast"/>
        </w:trPr>
        <w:tc>
          <w:tcPr>
            <w:tcW w:w="638" w:type="dxa"/>
            <w:tcBorders>
              <w:top w:val="single" w:color="auto" w:sz="4" w:space="0"/>
            </w:tcBorders>
            <w:vAlign w:val="center"/>
          </w:tcPr>
          <w:p w14:paraId="1E7F4A63">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Times New Roman" w:hAnsi="Times New Roman" w:eastAsia="宋体" w:cs="Times New Roman"/>
                <w:sz w:val="20"/>
                <w:szCs w:val="20"/>
                <w:lang w:eastAsia="zh-CN"/>
              </w:rPr>
            </w:pPr>
            <w:r>
              <w:rPr>
                <w:rFonts w:hint="eastAsia" w:ascii="Times New Roman" w:hAnsi="Times New Roman" w:eastAsia="宋体" w:cs="Times New Roman"/>
                <w:sz w:val="20"/>
                <w:szCs w:val="20"/>
                <w:lang w:val="en-US" w:eastAsia="zh-CN"/>
              </w:rPr>
              <w:t>5</w:t>
            </w:r>
          </w:p>
        </w:tc>
        <w:tc>
          <w:tcPr>
            <w:tcW w:w="991" w:type="dxa"/>
            <w:vMerge w:val="restart"/>
            <w:tcBorders>
              <w:top w:val="single" w:color="auto" w:sz="4" w:space="0"/>
            </w:tcBorders>
            <w:vAlign w:val="center"/>
          </w:tcPr>
          <w:p w14:paraId="519A4DE0">
            <w:pPr>
              <w:keepNext w:val="0"/>
              <w:keepLines w:val="0"/>
              <w:pageBreakBefore w:val="0"/>
              <w:widowControl/>
              <w:kinsoku w:val="0"/>
              <w:wordWrap/>
              <w:overflowPunct/>
              <w:topLinePunct w:val="0"/>
              <w:autoSpaceDE w:val="0"/>
              <w:autoSpaceDN w:val="0"/>
              <w:bidi w:val="0"/>
              <w:adjustRightInd w:val="0"/>
              <w:snapToGrid w:val="0"/>
              <w:spacing w:line="320" w:lineRule="exact"/>
              <w:ind w:firstLine="17"/>
              <w:jc w:val="center"/>
              <w:textAlignment w:val="baseline"/>
              <w:rPr>
                <w:highlight w:val="none"/>
              </w:rPr>
            </w:pPr>
            <w:r>
              <w:rPr>
                <w:rFonts w:hint="eastAsia" w:ascii="宋体" w:hAnsi="宋体" w:eastAsia="宋体" w:cs="宋体"/>
                <w:spacing w:val="7"/>
                <w:sz w:val="20"/>
                <w:szCs w:val="20"/>
                <w:highlight w:val="none"/>
                <w:lang w:val="en-US" w:eastAsia="zh-CN"/>
              </w:rPr>
              <w:t>综合</w:t>
            </w:r>
            <w:r>
              <w:rPr>
                <w:rFonts w:ascii="宋体" w:hAnsi="宋体" w:eastAsia="宋体" w:cs="宋体"/>
                <w:spacing w:val="7"/>
                <w:sz w:val="20"/>
                <w:szCs w:val="20"/>
                <w:highlight w:val="none"/>
              </w:rPr>
              <w:t>部分</w:t>
            </w:r>
            <w:r>
              <w:rPr>
                <w:rFonts w:ascii="宋体" w:hAnsi="宋体" w:eastAsia="宋体" w:cs="宋体"/>
                <w:sz w:val="20"/>
                <w:szCs w:val="20"/>
                <w:highlight w:val="none"/>
              </w:rPr>
              <w:t xml:space="preserve"> </w:t>
            </w:r>
            <w:r>
              <w:rPr>
                <w:rFonts w:ascii="宋体" w:hAnsi="宋体" w:eastAsia="宋体" w:cs="宋体"/>
                <w:spacing w:val="-2"/>
                <w:sz w:val="20"/>
                <w:szCs w:val="20"/>
                <w:highlight w:val="none"/>
              </w:rPr>
              <w:t>（</w:t>
            </w:r>
            <w:r>
              <w:rPr>
                <w:rFonts w:hint="eastAsia" w:ascii="Times New Roman" w:hAnsi="Times New Roman" w:eastAsia="宋体" w:cs="Times New Roman"/>
                <w:spacing w:val="-2"/>
                <w:sz w:val="20"/>
                <w:szCs w:val="20"/>
                <w:highlight w:val="none"/>
                <w:lang w:val="en-US" w:eastAsia="zh-CN"/>
              </w:rPr>
              <w:t>55</w:t>
            </w:r>
            <w:r>
              <w:rPr>
                <w:rFonts w:ascii="宋体" w:hAnsi="宋体" w:eastAsia="宋体" w:cs="宋体"/>
                <w:spacing w:val="-2"/>
                <w:sz w:val="20"/>
                <w:szCs w:val="20"/>
                <w:highlight w:val="none"/>
              </w:rPr>
              <w:t>分）</w:t>
            </w:r>
          </w:p>
        </w:tc>
        <w:tc>
          <w:tcPr>
            <w:tcW w:w="1210" w:type="dxa"/>
            <w:tcBorders>
              <w:top w:val="single" w:color="auto" w:sz="4" w:space="0"/>
            </w:tcBorders>
            <w:vAlign w:val="center"/>
          </w:tcPr>
          <w:p w14:paraId="35FF5853">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pacing w:val="-1"/>
                <w:sz w:val="20"/>
                <w:szCs w:val="20"/>
              </w:rPr>
            </w:pPr>
            <w:r>
              <w:rPr>
                <w:rFonts w:hint="eastAsia" w:ascii="宋体" w:hAnsi="宋体" w:eastAsia="宋体" w:cs="宋体"/>
                <w:spacing w:val="-1"/>
                <w:sz w:val="20"/>
                <w:szCs w:val="20"/>
              </w:rPr>
              <w:t>投标人资质</w:t>
            </w:r>
          </w:p>
          <w:p w14:paraId="06A3F084">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napToGrid w:val="0"/>
                <w:color w:val="000000"/>
                <w:sz w:val="20"/>
                <w:szCs w:val="20"/>
                <w:lang w:val="en-US" w:eastAsia="en-US" w:bidi="ar-SA"/>
              </w:rPr>
            </w:pPr>
            <w:r>
              <w:rPr>
                <w:rFonts w:ascii="宋体" w:hAnsi="宋体" w:eastAsia="宋体" w:cs="宋体"/>
                <w:spacing w:val="-1"/>
                <w:sz w:val="20"/>
                <w:szCs w:val="20"/>
              </w:rPr>
              <w:t>（</w:t>
            </w:r>
            <w:r>
              <w:rPr>
                <w:rFonts w:hint="eastAsia" w:ascii="Calibri" w:hAnsi="Calibri" w:eastAsia="宋体" w:cs="Calibri"/>
                <w:spacing w:val="-1"/>
                <w:sz w:val="20"/>
                <w:szCs w:val="20"/>
                <w:lang w:val="en-US" w:eastAsia="zh-CN"/>
              </w:rPr>
              <w:t>20</w:t>
            </w:r>
            <w:r>
              <w:rPr>
                <w:rFonts w:ascii="宋体" w:hAnsi="宋体" w:eastAsia="宋体" w:cs="宋体"/>
                <w:spacing w:val="-1"/>
                <w:sz w:val="20"/>
                <w:szCs w:val="20"/>
              </w:rPr>
              <w:t>分）</w:t>
            </w:r>
          </w:p>
        </w:tc>
        <w:tc>
          <w:tcPr>
            <w:tcW w:w="5432" w:type="dxa"/>
            <w:tcBorders>
              <w:top w:val="single" w:color="auto" w:sz="4" w:space="0"/>
            </w:tcBorders>
            <w:vAlign w:val="center"/>
          </w:tcPr>
          <w:p w14:paraId="169BDC19">
            <w:pPr>
              <w:keepNext w:val="0"/>
              <w:keepLines w:val="0"/>
              <w:pageBreakBefore w:val="0"/>
              <w:widowControl/>
              <w:kinsoku w:val="0"/>
              <w:wordWrap/>
              <w:overflowPunct/>
              <w:topLinePunct w:val="0"/>
              <w:autoSpaceDE w:val="0"/>
              <w:autoSpaceDN w:val="0"/>
              <w:bidi w:val="0"/>
              <w:adjustRightInd w:val="0"/>
              <w:snapToGrid w:val="0"/>
              <w:spacing w:line="320" w:lineRule="exact"/>
              <w:ind w:right="85" w:rightChars="0"/>
              <w:jc w:val="both"/>
              <w:textAlignment w:val="baseline"/>
              <w:rPr>
                <w:rFonts w:ascii="宋体" w:hAnsi="宋体" w:eastAsia="宋体" w:cs="宋体"/>
                <w:snapToGrid w:val="0"/>
                <w:color w:val="000000"/>
                <w:sz w:val="20"/>
                <w:szCs w:val="20"/>
                <w:highlight w:val="none"/>
                <w:lang w:val="en-US" w:eastAsia="zh-CN" w:bidi="ar-SA"/>
              </w:rPr>
            </w:pPr>
            <w:r>
              <w:rPr>
                <w:rFonts w:hint="eastAsia" w:ascii="宋体" w:hAnsi="宋体" w:eastAsia="宋体" w:cs="宋体"/>
                <w:sz w:val="20"/>
                <w:szCs w:val="20"/>
                <w:highlight w:val="none"/>
                <w:lang w:eastAsia="zh-CN"/>
              </w:rPr>
              <w:t>竞标人同时具有ISO9001质量管理体系认证证书、ISO14001环境管理体系认证证书、ISO45001职业健康安全管理体系认证证书，得</w:t>
            </w:r>
            <w:r>
              <w:rPr>
                <w:rFonts w:hint="eastAsia" w:ascii="宋体" w:hAnsi="宋体" w:eastAsia="宋体" w:cs="宋体"/>
                <w:sz w:val="20"/>
                <w:szCs w:val="20"/>
                <w:highlight w:val="none"/>
                <w:lang w:val="en-US" w:eastAsia="zh-CN"/>
              </w:rPr>
              <w:t>20</w:t>
            </w:r>
            <w:r>
              <w:rPr>
                <w:rFonts w:hint="eastAsia" w:ascii="宋体" w:hAnsi="宋体" w:eastAsia="宋体" w:cs="宋体"/>
                <w:sz w:val="20"/>
                <w:szCs w:val="20"/>
                <w:highlight w:val="none"/>
                <w:lang w:eastAsia="zh-CN"/>
              </w:rPr>
              <w:t>分；投标人具有上述任意两项证书的得</w:t>
            </w:r>
            <w:r>
              <w:rPr>
                <w:rFonts w:hint="eastAsia" w:ascii="宋体" w:hAnsi="宋体" w:eastAsia="宋体" w:cs="宋体"/>
                <w:sz w:val="20"/>
                <w:szCs w:val="20"/>
                <w:highlight w:val="none"/>
                <w:lang w:val="en-US" w:eastAsia="zh-CN"/>
              </w:rPr>
              <w:t>15</w:t>
            </w:r>
            <w:r>
              <w:rPr>
                <w:rFonts w:hint="eastAsia" w:ascii="宋体" w:hAnsi="宋体" w:eastAsia="宋体" w:cs="宋体"/>
                <w:sz w:val="20"/>
                <w:szCs w:val="20"/>
                <w:highlight w:val="none"/>
                <w:lang w:eastAsia="zh-CN"/>
              </w:rPr>
              <w:t>分；投标人具有上述任意一项证书的得</w:t>
            </w:r>
            <w:r>
              <w:rPr>
                <w:rFonts w:hint="eastAsia" w:ascii="宋体" w:hAnsi="宋体" w:eastAsia="宋体" w:cs="宋体"/>
                <w:sz w:val="20"/>
                <w:szCs w:val="20"/>
                <w:highlight w:val="none"/>
                <w:lang w:val="en-US" w:eastAsia="zh-CN"/>
              </w:rPr>
              <w:t>10</w:t>
            </w:r>
            <w:r>
              <w:rPr>
                <w:rFonts w:hint="eastAsia" w:ascii="宋体" w:hAnsi="宋体" w:eastAsia="宋体" w:cs="宋体"/>
                <w:sz w:val="20"/>
                <w:szCs w:val="20"/>
                <w:highlight w:val="none"/>
                <w:lang w:eastAsia="zh-CN"/>
              </w:rPr>
              <w:t>分；不提供不得分；</w:t>
            </w:r>
          </w:p>
        </w:tc>
        <w:tc>
          <w:tcPr>
            <w:tcW w:w="558" w:type="dxa"/>
            <w:vAlign w:val="center"/>
          </w:tcPr>
          <w:p w14:paraId="1406E697">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napToGrid w:val="0"/>
                <w:color w:val="000000"/>
                <w:sz w:val="20"/>
                <w:szCs w:val="20"/>
                <w:lang w:val="en-US" w:eastAsia="zh-CN" w:bidi="ar-SA"/>
              </w:rPr>
            </w:pPr>
            <w:r>
              <w:rPr>
                <w:rFonts w:hint="eastAsia" w:ascii="Times New Roman" w:hAnsi="Times New Roman" w:eastAsia="宋体" w:cs="Times New Roman"/>
                <w:spacing w:val="-8"/>
                <w:sz w:val="20"/>
                <w:szCs w:val="20"/>
                <w:lang w:val="en-US" w:eastAsia="zh-CN"/>
              </w:rPr>
              <w:t>20</w:t>
            </w:r>
          </w:p>
        </w:tc>
      </w:tr>
      <w:tr w14:paraId="03496D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638" w:type="dxa"/>
            <w:vAlign w:val="center"/>
          </w:tcPr>
          <w:p w14:paraId="4C3038BE">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Times New Roman" w:hAnsi="Times New Roman" w:eastAsia="宋体" w:cs="Times New Roman"/>
                <w:sz w:val="20"/>
                <w:szCs w:val="20"/>
                <w:lang w:eastAsia="zh-CN"/>
              </w:rPr>
            </w:pPr>
            <w:r>
              <w:rPr>
                <w:rFonts w:hint="eastAsia" w:ascii="Times New Roman" w:hAnsi="Times New Roman" w:eastAsia="宋体" w:cs="Times New Roman"/>
                <w:sz w:val="20"/>
                <w:szCs w:val="20"/>
                <w:lang w:val="en-US" w:eastAsia="zh-CN"/>
              </w:rPr>
              <w:t>6</w:t>
            </w:r>
          </w:p>
        </w:tc>
        <w:tc>
          <w:tcPr>
            <w:tcW w:w="991" w:type="dxa"/>
            <w:vMerge w:val="continue"/>
            <w:vAlign w:val="center"/>
          </w:tcPr>
          <w:p w14:paraId="66E8D34B">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highlight w:val="none"/>
              </w:rPr>
            </w:pPr>
          </w:p>
        </w:tc>
        <w:tc>
          <w:tcPr>
            <w:tcW w:w="1210" w:type="dxa"/>
            <w:vAlign w:val="center"/>
          </w:tcPr>
          <w:p w14:paraId="424EE5BB">
            <w:pPr>
              <w:keepNext w:val="0"/>
              <w:keepLines w:val="0"/>
              <w:pageBreakBefore w:val="0"/>
              <w:widowControl/>
              <w:kinsoku w:val="0"/>
              <w:wordWrap/>
              <w:overflowPunct/>
              <w:topLinePunct w:val="0"/>
              <w:autoSpaceDE w:val="0"/>
              <w:autoSpaceDN w:val="0"/>
              <w:bidi w:val="0"/>
              <w:adjustRightInd w:val="0"/>
              <w:snapToGrid w:val="0"/>
              <w:spacing w:line="320" w:lineRule="exact"/>
              <w:ind w:hanging="55"/>
              <w:jc w:val="center"/>
              <w:textAlignment w:val="baseline"/>
              <w:rPr>
                <w:rFonts w:ascii="宋体" w:hAnsi="宋体" w:eastAsia="宋体" w:cs="宋体"/>
                <w:sz w:val="20"/>
                <w:szCs w:val="20"/>
                <w:highlight w:val="none"/>
              </w:rPr>
            </w:pPr>
            <w:r>
              <w:rPr>
                <w:rFonts w:hint="eastAsia" w:ascii="宋体" w:hAnsi="宋体" w:eastAsia="宋体" w:cs="宋体"/>
                <w:sz w:val="20"/>
                <w:szCs w:val="20"/>
                <w:highlight w:val="none"/>
              </w:rPr>
              <w:t>同类业绩</w:t>
            </w:r>
          </w:p>
          <w:p w14:paraId="42447CF9">
            <w:pPr>
              <w:keepNext w:val="0"/>
              <w:keepLines w:val="0"/>
              <w:pageBreakBefore w:val="0"/>
              <w:widowControl/>
              <w:kinsoku w:val="0"/>
              <w:wordWrap/>
              <w:overflowPunct/>
              <w:topLinePunct w:val="0"/>
              <w:autoSpaceDE w:val="0"/>
              <w:autoSpaceDN w:val="0"/>
              <w:bidi w:val="0"/>
              <w:adjustRightInd w:val="0"/>
              <w:snapToGrid w:val="0"/>
              <w:spacing w:line="320" w:lineRule="exact"/>
              <w:ind w:hanging="55"/>
              <w:jc w:val="center"/>
              <w:textAlignment w:val="baseline"/>
              <w:rPr>
                <w:rFonts w:ascii="宋体" w:hAnsi="宋体" w:eastAsia="宋体" w:cs="宋体"/>
                <w:sz w:val="20"/>
                <w:szCs w:val="20"/>
                <w:highlight w:val="none"/>
              </w:rPr>
            </w:pPr>
            <w:r>
              <w:rPr>
                <w:rFonts w:ascii="宋体" w:hAnsi="宋体" w:eastAsia="宋体" w:cs="宋体"/>
                <w:spacing w:val="1"/>
                <w:sz w:val="20"/>
                <w:szCs w:val="20"/>
                <w:highlight w:val="none"/>
              </w:rPr>
              <w:t>（</w:t>
            </w:r>
            <w:r>
              <w:rPr>
                <w:rFonts w:hint="eastAsia" w:ascii="Times New Roman" w:hAnsi="Times New Roman" w:eastAsia="宋体" w:cs="Times New Roman"/>
                <w:spacing w:val="1"/>
                <w:sz w:val="20"/>
                <w:szCs w:val="20"/>
                <w:highlight w:val="none"/>
                <w:lang w:val="en-US" w:eastAsia="zh-CN"/>
              </w:rPr>
              <w:t>10</w:t>
            </w:r>
            <w:r>
              <w:rPr>
                <w:rFonts w:ascii="宋体" w:hAnsi="宋体" w:eastAsia="宋体" w:cs="宋体"/>
                <w:spacing w:val="1"/>
                <w:sz w:val="20"/>
                <w:szCs w:val="20"/>
                <w:highlight w:val="none"/>
              </w:rPr>
              <w:t>分）</w:t>
            </w:r>
          </w:p>
        </w:tc>
        <w:tc>
          <w:tcPr>
            <w:tcW w:w="5432" w:type="dxa"/>
            <w:vAlign w:val="center"/>
          </w:tcPr>
          <w:p w14:paraId="1556FC3F">
            <w:pPr>
              <w:keepNext w:val="0"/>
              <w:keepLines w:val="0"/>
              <w:pageBreakBefore w:val="0"/>
              <w:widowControl/>
              <w:kinsoku w:val="0"/>
              <w:wordWrap/>
              <w:overflowPunct/>
              <w:topLinePunct w:val="0"/>
              <w:autoSpaceDE w:val="0"/>
              <w:autoSpaceDN w:val="0"/>
              <w:bidi w:val="0"/>
              <w:adjustRightInd w:val="0"/>
              <w:snapToGrid w:val="0"/>
              <w:spacing w:line="320" w:lineRule="exact"/>
              <w:ind w:right="56"/>
              <w:jc w:val="both"/>
              <w:textAlignment w:val="baseline"/>
              <w:rPr>
                <w:rFonts w:ascii="宋体" w:hAnsi="宋体" w:eastAsia="宋体" w:cs="宋体"/>
                <w:sz w:val="20"/>
                <w:szCs w:val="20"/>
                <w:highlight w:val="none"/>
                <w:lang w:eastAsia="zh-CN"/>
              </w:rPr>
            </w:pPr>
            <w:r>
              <w:rPr>
                <w:rFonts w:hint="eastAsia" w:ascii="宋体" w:hAnsi="宋体" w:eastAsia="宋体" w:cs="宋体"/>
                <w:sz w:val="20"/>
                <w:szCs w:val="20"/>
                <w:highlight w:val="none"/>
                <w:lang w:eastAsia="zh-CN"/>
              </w:rPr>
              <w:t>供应商从202</w:t>
            </w:r>
            <w:r>
              <w:rPr>
                <w:rFonts w:hint="eastAsia" w:ascii="宋体" w:hAnsi="宋体" w:eastAsia="宋体" w:cs="宋体"/>
                <w:sz w:val="20"/>
                <w:szCs w:val="20"/>
                <w:highlight w:val="none"/>
                <w:lang w:val="en-US" w:eastAsia="zh-CN"/>
              </w:rPr>
              <w:t>2</w:t>
            </w:r>
            <w:r>
              <w:rPr>
                <w:rFonts w:hint="eastAsia" w:ascii="宋体" w:hAnsi="宋体" w:eastAsia="宋体" w:cs="宋体"/>
                <w:sz w:val="20"/>
                <w:szCs w:val="20"/>
                <w:highlight w:val="none"/>
                <w:lang w:eastAsia="zh-CN"/>
              </w:rPr>
              <w:t>年以来有承担过包含</w:t>
            </w:r>
            <w:r>
              <w:rPr>
                <w:rFonts w:hint="eastAsia" w:ascii="宋体" w:hAnsi="宋体" w:eastAsia="宋体" w:cs="宋体"/>
                <w:sz w:val="20"/>
                <w:szCs w:val="20"/>
                <w:highlight w:val="none"/>
                <w:lang w:val="en-US" w:eastAsia="zh-CN"/>
              </w:rPr>
              <w:t>机动车污染防治平台运维或建设</w:t>
            </w:r>
            <w:r>
              <w:rPr>
                <w:rFonts w:hint="eastAsia" w:ascii="宋体" w:hAnsi="宋体" w:eastAsia="宋体" w:cs="宋体"/>
                <w:sz w:val="20"/>
                <w:szCs w:val="20"/>
                <w:highlight w:val="none"/>
                <w:lang w:eastAsia="zh-CN"/>
              </w:rPr>
              <w:t>的业绩，每个得</w:t>
            </w:r>
            <w:r>
              <w:rPr>
                <w:rFonts w:hint="eastAsia" w:ascii="宋体" w:hAnsi="宋体" w:eastAsia="宋体" w:cs="宋体"/>
                <w:sz w:val="20"/>
                <w:szCs w:val="20"/>
                <w:highlight w:val="none"/>
                <w:lang w:val="en-US" w:eastAsia="zh-CN"/>
              </w:rPr>
              <w:t>5</w:t>
            </w:r>
            <w:r>
              <w:rPr>
                <w:rFonts w:hint="eastAsia" w:ascii="宋体" w:hAnsi="宋体" w:eastAsia="宋体" w:cs="宋体"/>
                <w:sz w:val="20"/>
                <w:szCs w:val="20"/>
                <w:highlight w:val="none"/>
                <w:lang w:eastAsia="zh-CN"/>
              </w:rPr>
              <w:t>分，最高得</w:t>
            </w:r>
            <w:r>
              <w:rPr>
                <w:rFonts w:hint="eastAsia" w:ascii="宋体" w:hAnsi="宋体" w:eastAsia="宋体" w:cs="宋体"/>
                <w:sz w:val="20"/>
                <w:szCs w:val="20"/>
                <w:highlight w:val="none"/>
                <w:lang w:val="en-US" w:eastAsia="zh-CN"/>
              </w:rPr>
              <w:t>10分</w:t>
            </w:r>
            <w:r>
              <w:rPr>
                <w:rFonts w:hint="eastAsia" w:ascii="宋体" w:hAnsi="宋体" w:eastAsia="宋体" w:cs="宋体"/>
                <w:sz w:val="20"/>
                <w:szCs w:val="20"/>
                <w:highlight w:val="none"/>
                <w:lang w:eastAsia="zh-CN"/>
              </w:rPr>
              <w:t>，同一个用户项目只计算一次；</w:t>
            </w:r>
          </w:p>
          <w:p w14:paraId="529421EF">
            <w:pPr>
              <w:keepNext w:val="0"/>
              <w:keepLines w:val="0"/>
              <w:pageBreakBefore w:val="0"/>
              <w:widowControl/>
              <w:kinsoku w:val="0"/>
              <w:wordWrap/>
              <w:overflowPunct/>
              <w:topLinePunct w:val="0"/>
              <w:autoSpaceDE w:val="0"/>
              <w:autoSpaceDN w:val="0"/>
              <w:bidi w:val="0"/>
              <w:adjustRightInd w:val="0"/>
              <w:snapToGrid w:val="0"/>
              <w:spacing w:line="320" w:lineRule="exact"/>
              <w:ind w:right="56"/>
              <w:jc w:val="both"/>
              <w:textAlignment w:val="baseline"/>
              <w:rPr>
                <w:rFonts w:ascii="宋体" w:hAnsi="宋体" w:eastAsia="宋体" w:cs="宋体"/>
                <w:sz w:val="20"/>
                <w:szCs w:val="20"/>
                <w:highlight w:val="none"/>
                <w:lang w:eastAsia="zh-CN"/>
              </w:rPr>
            </w:pPr>
            <w:r>
              <w:rPr>
                <w:rFonts w:hint="eastAsia" w:ascii="宋体" w:hAnsi="宋体" w:eastAsia="宋体" w:cs="宋体"/>
                <w:sz w:val="20"/>
                <w:szCs w:val="20"/>
                <w:highlight w:val="none"/>
                <w:lang w:eastAsia="zh-CN"/>
              </w:rPr>
              <w:t>注：工作业绩需提供相关证明材料(与最终用户签订合同首页、标的金额所在页及签字盖章页所在页或中标通知书，项目不重复)复印件，未提供者不得分</w:t>
            </w:r>
          </w:p>
        </w:tc>
        <w:tc>
          <w:tcPr>
            <w:tcW w:w="558" w:type="dxa"/>
            <w:vAlign w:val="center"/>
          </w:tcPr>
          <w:p w14:paraId="6D81CFC9">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pacing w:val="1"/>
                <w:sz w:val="20"/>
                <w:szCs w:val="20"/>
                <w:highlight w:val="none"/>
                <w:lang w:val="en-US" w:eastAsia="zh-CN"/>
              </w:rPr>
              <w:t>10</w:t>
            </w:r>
          </w:p>
        </w:tc>
      </w:tr>
      <w:tr w14:paraId="04E1E02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83" w:hRule="atLeast"/>
        </w:trPr>
        <w:tc>
          <w:tcPr>
            <w:tcW w:w="638" w:type="dxa"/>
            <w:vAlign w:val="center"/>
          </w:tcPr>
          <w:p w14:paraId="78F363EA">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Times New Roman" w:hAnsi="Times New Roman" w:eastAsia="宋体" w:cs="Times New Roman"/>
                <w:sz w:val="20"/>
                <w:szCs w:val="20"/>
                <w:lang w:eastAsia="zh-CN"/>
              </w:rPr>
            </w:pPr>
            <w:r>
              <w:rPr>
                <w:rFonts w:hint="eastAsia" w:ascii="Times New Roman" w:hAnsi="Times New Roman" w:eastAsia="宋体" w:cs="Times New Roman"/>
                <w:sz w:val="20"/>
                <w:szCs w:val="20"/>
                <w:lang w:val="en-US" w:eastAsia="zh-CN"/>
              </w:rPr>
              <w:t>7</w:t>
            </w:r>
          </w:p>
        </w:tc>
        <w:tc>
          <w:tcPr>
            <w:tcW w:w="991" w:type="dxa"/>
            <w:vMerge w:val="continue"/>
            <w:vAlign w:val="center"/>
          </w:tcPr>
          <w:p w14:paraId="1F499847">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highlight w:val="none"/>
              </w:rPr>
            </w:pPr>
          </w:p>
        </w:tc>
        <w:tc>
          <w:tcPr>
            <w:tcW w:w="1210" w:type="dxa"/>
            <w:vAlign w:val="center"/>
          </w:tcPr>
          <w:p w14:paraId="2394C280">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highlight w:val="none"/>
                <w:lang w:eastAsia="zh-CN"/>
              </w:rPr>
            </w:pPr>
            <w:r>
              <w:rPr>
                <w:rFonts w:hint="eastAsia" w:ascii="宋体" w:hAnsi="宋体" w:eastAsia="宋体" w:cs="宋体"/>
                <w:sz w:val="20"/>
                <w:szCs w:val="20"/>
                <w:highlight w:val="none"/>
                <w:lang w:eastAsia="zh-CN"/>
              </w:rPr>
              <w:t>拟投入本项目专业技术人员配备及装备情况</w:t>
            </w:r>
          </w:p>
          <w:p w14:paraId="3E8201CC">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highlight w:val="none"/>
              </w:rPr>
            </w:pPr>
            <w:r>
              <w:rPr>
                <w:rFonts w:ascii="宋体" w:hAnsi="宋体" w:eastAsia="宋体" w:cs="宋体"/>
                <w:spacing w:val="1"/>
                <w:sz w:val="20"/>
                <w:szCs w:val="20"/>
                <w:highlight w:val="none"/>
              </w:rPr>
              <w:t>（</w:t>
            </w:r>
            <w:r>
              <w:rPr>
                <w:rFonts w:hint="eastAsia" w:ascii="宋体" w:hAnsi="宋体" w:eastAsia="宋体" w:cs="宋体"/>
                <w:spacing w:val="1"/>
                <w:sz w:val="20"/>
                <w:szCs w:val="20"/>
                <w:highlight w:val="none"/>
                <w:lang w:val="en-US" w:eastAsia="zh-CN"/>
              </w:rPr>
              <w:t>25</w:t>
            </w:r>
            <w:r>
              <w:rPr>
                <w:rFonts w:ascii="宋体" w:hAnsi="宋体" w:eastAsia="宋体" w:cs="宋体"/>
                <w:spacing w:val="1"/>
                <w:sz w:val="20"/>
                <w:szCs w:val="20"/>
                <w:highlight w:val="none"/>
              </w:rPr>
              <w:t>分）</w:t>
            </w:r>
          </w:p>
        </w:tc>
        <w:tc>
          <w:tcPr>
            <w:tcW w:w="5432" w:type="dxa"/>
            <w:vAlign w:val="center"/>
          </w:tcPr>
          <w:p w14:paraId="46FB0D38">
            <w:pPr>
              <w:keepNext w:val="0"/>
              <w:keepLines w:val="0"/>
              <w:pageBreakBefore w:val="0"/>
              <w:widowControl/>
              <w:kinsoku w:val="0"/>
              <w:wordWrap/>
              <w:overflowPunct/>
              <w:topLinePunct w:val="0"/>
              <w:autoSpaceDE w:val="0"/>
              <w:autoSpaceDN w:val="0"/>
              <w:bidi w:val="0"/>
              <w:adjustRightInd w:val="0"/>
              <w:snapToGrid w:val="0"/>
              <w:spacing w:line="320" w:lineRule="exact"/>
              <w:ind w:right="57"/>
              <w:jc w:val="both"/>
              <w:textAlignment w:val="baseline"/>
              <w:rPr>
                <w:rFonts w:hint="eastAsia" w:ascii="宋体" w:hAnsi="宋体" w:eastAsia="宋体"/>
                <w:sz w:val="21"/>
                <w:szCs w:val="24"/>
                <w:lang w:eastAsia="zh-CN"/>
              </w:rPr>
            </w:pPr>
            <w:r>
              <w:rPr>
                <w:rFonts w:hint="eastAsia" w:ascii="宋体" w:hAnsi="宋体" w:eastAsia="宋体"/>
                <w:sz w:val="21"/>
                <w:szCs w:val="24"/>
                <w:lang w:val="en-US" w:eastAsia="zh-CN"/>
              </w:rPr>
              <w:t>1.</w:t>
            </w:r>
            <w:r>
              <w:rPr>
                <w:rFonts w:hint="eastAsia" w:ascii="宋体" w:hAnsi="宋体" w:eastAsia="宋体"/>
                <w:color w:val="FF0000"/>
                <w:sz w:val="21"/>
                <w:szCs w:val="24"/>
              </w:rPr>
              <w:t>投标人应提供运维人员用于本项目运维服务，每</w:t>
            </w:r>
            <w:r>
              <w:rPr>
                <w:rFonts w:hint="eastAsia" w:ascii="宋体" w:hAnsi="宋体" w:eastAsia="宋体"/>
                <w:color w:val="FF0000"/>
                <w:sz w:val="21"/>
                <w:szCs w:val="24"/>
                <w:lang w:eastAsia="zh-CN"/>
              </w:rPr>
              <w:t>有</w:t>
            </w:r>
            <w:r>
              <w:rPr>
                <w:rFonts w:hint="eastAsia" w:ascii="宋体" w:hAnsi="宋体" w:eastAsia="宋体"/>
                <w:color w:val="FF0000"/>
                <w:sz w:val="21"/>
                <w:szCs w:val="24"/>
              </w:rPr>
              <w:t>一名加</w:t>
            </w:r>
            <w:r>
              <w:rPr>
                <w:rFonts w:hint="eastAsia" w:ascii="宋体" w:hAnsi="宋体" w:eastAsia="宋体"/>
                <w:color w:val="FF0000"/>
                <w:sz w:val="21"/>
                <w:szCs w:val="24"/>
                <w:lang w:val="en-US" w:eastAsia="zh-CN"/>
              </w:rPr>
              <w:t>4</w:t>
            </w:r>
            <w:r>
              <w:rPr>
                <w:rFonts w:hint="eastAsia" w:ascii="宋体" w:hAnsi="宋体" w:eastAsia="宋体"/>
                <w:color w:val="FF0000"/>
                <w:sz w:val="21"/>
                <w:szCs w:val="24"/>
              </w:rPr>
              <w:t>分，最多</w:t>
            </w:r>
            <w:r>
              <w:rPr>
                <w:rFonts w:hint="eastAsia" w:ascii="宋体" w:hAnsi="宋体" w:eastAsia="宋体"/>
                <w:color w:val="FF0000"/>
                <w:sz w:val="21"/>
                <w:szCs w:val="24"/>
                <w:lang w:val="en-US" w:eastAsia="zh-CN"/>
              </w:rPr>
              <w:t>16</w:t>
            </w:r>
            <w:r>
              <w:rPr>
                <w:rFonts w:hint="eastAsia" w:ascii="宋体" w:hAnsi="宋体" w:eastAsia="宋体"/>
                <w:color w:val="FF0000"/>
                <w:sz w:val="21"/>
                <w:szCs w:val="24"/>
              </w:rPr>
              <w:t>分</w:t>
            </w:r>
            <w:r>
              <w:rPr>
                <w:rFonts w:hint="eastAsia" w:ascii="宋体" w:hAnsi="宋体" w:eastAsia="宋体"/>
                <w:color w:val="FF0000"/>
                <w:sz w:val="21"/>
                <w:szCs w:val="24"/>
                <w:lang w:eastAsia="zh-CN"/>
              </w:rPr>
              <w:t>。</w:t>
            </w:r>
          </w:p>
          <w:p w14:paraId="615BA558">
            <w:pPr>
              <w:pStyle w:val="2"/>
              <w:keepNext w:val="0"/>
              <w:keepLines w:val="0"/>
              <w:pageBreakBefore w:val="0"/>
              <w:widowControl/>
              <w:kinsoku w:val="0"/>
              <w:wordWrap/>
              <w:overflowPunct/>
              <w:topLinePunct w:val="0"/>
              <w:autoSpaceDE w:val="0"/>
              <w:autoSpaceDN w:val="0"/>
              <w:bidi w:val="0"/>
              <w:adjustRightInd w:val="0"/>
              <w:snapToGrid w:val="0"/>
              <w:spacing w:line="320" w:lineRule="exact"/>
              <w:ind w:left="0" w:leftChars="0" w:firstLine="0" w:firstLineChars="0"/>
              <w:textAlignment w:val="baseline"/>
              <w:rPr>
                <w:rFonts w:hint="eastAsia"/>
                <w:lang w:eastAsia="zh-CN"/>
              </w:rPr>
            </w:pPr>
            <w:r>
              <w:rPr>
                <w:rFonts w:hint="eastAsia" w:ascii="宋体" w:hAnsi="宋体" w:eastAsia="宋体" w:cs="宋体"/>
                <w:sz w:val="20"/>
                <w:szCs w:val="20"/>
                <w:highlight w:val="none"/>
                <w:lang w:eastAsia="zh-CN"/>
              </w:rPr>
              <w:t>注：</w:t>
            </w:r>
            <w:r>
              <w:rPr>
                <w:rFonts w:hint="eastAsia" w:ascii="宋体" w:hAnsi="宋体" w:eastAsia="宋体" w:cs="宋体"/>
                <w:color w:val="auto"/>
                <w:sz w:val="20"/>
                <w:szCs w:val="20"/>
                <w:highlight w:val="none"/>
                <w:lang w:val="en-US" w:eastAsia="zh-CN"/>
              </w:rPr>
              <w:t>提供工作经历证明、2024年连续3个月以上社保证明及证书，未提供者不得分。</w:t>
            </w:r>
          </w:p>
          <w:p w14:paraId="2657616A">
            <w:pPr>
              <w:pStyle w:val="2"/>
              <w:keepNext w:val="0"/>
              <w:keepLines w:val="0"/>
              <w:pageBreakBefore w:val="0"/>
              <w:widowControl/>
              <w:kinsoku w:val="0"/>
              <w:wordWrap/>
              <w:overflowPunct/>
              <w:topLinePunct w:val="0"/>
              <w:autoSpaceDE w:val="0"/>
              <w:autoSpaceDN w:val="0"/>
              <w:bidi w:val="0"/>
              <w:adjustRightInd w:val="0"/>
              <w:snapToGrid w:val="0"/>
              <w:spacing w:line="320" w:lineRule="exact"/>
              <w:ind w:left="0" w:leftChars="0" w:firstLine="0" w:firstLineChars="0"/>
              <w:textAlignment w:val="baseline"/>
              <w:rPr>
                <w:lang w:eastAsia="zh-CN"/>
              </w:rPr>
            </w:pPr>
            <w:r>
              <w:rPr>
                <w:rFonts w:hint="eastAsia" w:ascii="宋体" w:hAnsi="宋体" w:cs="宋体"/>
                <w:sz w:val="21"/>
                <w:szCs w:val="21"/>
                <w:lang w:val="en-US" w:eastAsia="zh-CN"/>
              </w:rPr>
              <w:t>2.</w:t>
            </w:r>
            <w:r>
              <w:rPr>
                <w:rFonts w:hint="eastAsia" w:ascii="宋体" w:hAnsi="宋体" w:eastAsia="宋体" w:cs="宋体"/>
                <w:sz w:val="21"/>
                <w:szCs w:val="21"/>
                <w:lang w:val="en-US" w:eastAsia="zh-CN"/>
              </w:rPr>
              <w:t>投标人在当地具有与其业务范围相适应的固定的经营场办公场所的得</w:t>
            </w:r>
            <w:r>
              <w:rPr>
                <w:rFonts w:hint="eastAsia" w:ascii="宋体" w:hAnsi="宋体" w:cs="宋体"/>
                <w:sz w:val="21"/>
                <w:szCs w:val="21"/>
                <w:lang w:val="en-US" w:eastAsia="zh-CN"/>
              </w:rPr>
              <w:t>9</w:t>
            </w:r>
            <w:r>
              <w:rPr>
                <w:rFonts w:hint="eastAsia" w:ascii="宋体" w:hAnsi="宋体" w:eastAsia="宋体" w:cs="宋体"/>
                <w:sz w:val="21"/>
                <w:szCs w:val="21"/>
                <w:lang w:val="en-US" w:eastAsia="zh-CN"/>
              </w:rPr>
              <w:t>分，提供固定办公场所、服务场所的产权证复印件及房屋所有人身份证复印件或租赁协议复印件</w:t>
            </w:r>
            <w:r>
              <w:rPr>
                <w:rFonts w:hint="eastAsia" w:ascii="宋体" w:hAnsi="宋体" w:cs="宋体"/>
                <w:sz w:val="21"/>
                <w:szCs w:val="21"/>
                <w:lang w:val="en-US" w:eastAsia="zh-CN"/>
              </w:rPr>
              <w:t>，未提供者不得分。</w:t>
            </w:r>
          </w:p>
        </w:tc>
        <w:tc>
          <w:tcPr>
            <w:tcW w:w="558" w:type="dxa"/>
            <w:vAlign w:val="center"/>
          </w:tcPr>
          <w:p w14:paraId="670F8590">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default" w:ascii="Times New Roman" w:hAnsi="Times New Roman" w:eastAsia="宋体" w:cs="Times New Roman"/>
                <w:spacing w:val="1"/>
                <w:sz w:val="20"/>
                <w:szCs w:val="20"/>
                <w:highlight w:val="none"/>
                <w:lang w:val="en-US" w:eastAsia="zh-CN"/>
              </w:rPr>
            </w:pPr>
            <w:r>
              <w:rPr>
                <w:rFonts w:hint="eastAsia" w:ascii="Times New Roman" w:hAnsi="Times New Roman" w:eastAsia="宋体" w:cs="Times New Roman"/>
                <w:spacing w:val="1"/>
                <w:sz w:val="20"/>
                <w:szCs w:val="20"/>
                <w:highlight w:val="none"/>
                <w:lang w:val="en-US" w:eastAsia="zh-CN"/>
              </w:rPr>
              <w:t>25</w:t>
            </w:r>
          </w:p>
        </w:tc>
      </w:tr>
      <w:tr w14:paraId="07617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638" w:type="dxa"/>
            <w:vAlign w:val="center"/>
          </w:tcPr>
          <w:p w14:paraId="007E2286">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hint="eastAsia" w:ascii="Times New Roman" w:hAnsi="Times New Roman" w:eastAsia="宋体" w:cs="Times New Roman"/>
                <w:sz w:val="20"/>
                <w:szCs w:val="20"/>
                <w:lang w:eastAsia="zh-CN"/>
              </w:rPr>
            </w:pPr>
            <w:r>
              <w:rPr>
                <w:rFonts w:hint="eastAsia" w:ascii="Times New Roman" w:hAnsi="Times New Roman" w:eastAsia="宋体" w:cs="Times New Roman"/>
                <w:spacing w:val="-8"/>
                <w:sz w:val="20"/>
                <w:szCs w:val="20"/>
                <w:lang w:val="en-US" w:eastAsia="zh-CN"/>
              </w:rPr>
              <w:t>8</w:t>
            </w:r>
          </w:p>
        </w:tc>
        <w:tc>
          <w:tcPr>
            <w:tcW w:w="7633" w:type="dxa"/>
            <w:gridSpan w:val="3"/>
            <w:vAlign w:val="center"/>
          </w:tcPr>
          <w:p w14:paraId="36BBFCB0">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宋体" w:hAnsi="宋体" w:eastAsia="宋体" w:cs="宋体"/>
                <w:sz w:val="20"/>
                <w:szCs w:val="20"/>
              </w:rPr>
            </w:pPr>
            <w:r>
              <w:rPr>
                <w:rFonts w:ascii="宋体" w:hAnsi="宋体" w:eastAsia="宋体" w:cs="宋体"/>
                <w:spacing w:val="2"/>
                <w:sz w:val="20"/>
                <w:szCs w:val="20"/>
              </w:rPr>
              <w:t>总计</w:t>
            </w:r>
          </w:p>
        </w:tc>
        <w:tc>
          <w:tcPr>
            <w:tcW w:w="558" w:type="dxa"/>
            <w:vAlign w:val="center"/>
          </w:tcPr>
          <w:p w14:paraId="3C1E692B">
            <w:pPr>
              <w:keepNext w:val="0"/>
              <w:keepLines w:val="0"/>
              <w:pageBreakBefore w:val="0"/>
              <w:widowControl/>
              <w:kinsoku w:val="0"/>
              <w:wordWrap/>
              <w:overflowPunct/>
              <w:topLinePunct w:val="0"/>
              <w:autoSpaceDE w:val="0"/>
              <w:autoSpaceDN w:val="0"/>
              <w:bidi w:val="0"/>
              <w:adjustRightInd w:val="0"/>
              <w:snapToGrid w:val="0"/>
              <w:spacing w:line="320" w:lineRule="exact"/>
              <w:jc w:val="center"/>
              <w:textAlignment w:val="baseline"/>
              <w:rPr>
                <w:rFonts w:ascii="Times New Roman" w:hAnsi="Times New Roman" w:eastAsia="Times New Roman" w:cs="Times New Roman"/>
                <w:sz w:val="20"/>
                <w:szCs w:val="20"/>
              </w:rPr>
            </w:pPr>
            <w:r>
              <w:rPr>
                <w:rFonts w:ascii="Times New Roman" w:hAnsi="Times New Roman" w:eastAsia="Times New Roman" w:cs="Times New Roman"/>
                <w:spacing w:val="-3"/>
                <w:sz w:val="20"/>
                <w:szCs w:val="20"/>
              </w:rPr>
              <w:t>100</w:t>
            </w:r>
          </w:p>
        </w:tc>
      </w:tr>
    </w:tbl>
    <w:p w14:paraId="2FE20020"/>
    <w:p w14:paraId="3C19F370">
      <w:pPr>
        <w:spacing w:line="91" w:lineRule="exact"/>
      </w:pPr>
    </w:p>
    <w:p w14:paraId="12489740">
      <w:pPr>
        <w:spacing w:before="150" w:line="180" w:lineRule="auto"/>
        <w:ind w:left="3449"/>
        <w:outlineLvl w:val="0"/>
        <w:rPr>
          <w:rFonts w:ascii="微软雅黑" w:hAnsi="微软雅黑" w:eastAsia="微软雅黑" w:cs="微软雅黑"/>
          <w:sz w:val="35"/>
          <w:szCs w:val="35"/>
        </w:rPr>
        <w:sectPr>
          <w:pgSz w:w="11906" w:h="16839"/>
          <w:pgMar w:top="1440" w:right="1800" w:bottom="1440" w:left="1800" w:header="0" w:footer="567" w:gutter="0"/>
          <w:pgNumType w:fmt="decimal"/>
          <w:cols w:space="720" w:num="1"/>
        </w:sectPr>
      </w:pPr>
    </w:p>
    <w:p w14:paraId="50C6BF60">
      <w:pPr>
        <w:spacing w:before="150" w:line="180" w:lineRule="auto"/>
        <w:ind w:left="3449"/>
        <w:outlineLvl w:val="0"/>
        <w:rPr>
          <w:rFonts w:ascii="微软雅黑" w:hAnsi="微软雅黑" w:eastAsia="微软雅黑" w:cs="微软雅黑"/>
          <w:sz w:val="35"/>
          <w:szCs w:val="35"/>
        </w:rPr>
      </w:pPr>
      <w:r>
        <w:rPr>
          <w:rFonts w:ascii="微软雅黑" w:hAnsi="微软雅黑" w:eastAsia="微软雅黑" w:cs="微软雅黑"/>
          <w:sz w:val="35"/>
          <w:szCs w:val="35"/>
        </w:rPr>
        <w:t>第五章</w:t>
      </w:r>
      <w:r>
        <w:rPr>
          <w:rFonts w:hint="eastAsia" w:ascii="微软雅黑" w:hAnsi="微软雅黑" w:eastAsia="微软雅黑" w:cs="微软雅黑"/>
          <w:sz w:val="35"/>
          <w:szCs w:val="35"/>
          <w:lang w:eastAsia="zh-CN"/>
        </w:rPr>
        <w:t xml:space="preserve">  </w:t>
      </w:r>
      <w:r>
        <w:rPr>
          <w:rFonts w:ascii="微软雅黑" w:hAnsi="微软雅黑" w:eastAsia="微软雅黑" w:cs="微软雅黑"/>
          <w:sz w:val="35"/>
          <w:szCs w:val="35"/>
        </w:rPr>
        <w:t>附件</w:t>
      </w:r>
    </w:p>
    <w:p w14:paraId="4C51FE51">
      <w:pPr>
        <w:pStyle w:val="7"/>
        <w:spacing w:line="281" w:lineRule="auto"/>
      </w:pPr>
    </w:p>
    <w:p w14:paraId="3523BAAA">
      <w:pPr>
        <w:spacing w:before="101" w:line="228" w:lineRule="auto"/>
        <w:outlineLvl w:val="1"/>
        <w:rPr>
          <w:rFonts w:hint="eastAsia" w:ascii="黑体" w:hAnsi="黑体" w:eastAsia="黑体" w:cs="黑体"/>
          <w:sz w:val="31"/>
          <w:szCs w:val="31"/>
          <w:lang w:eastAsia="zh-CN"/>
        </w:rPr>
      </w:pPr>
      <w:r>
        <w:rPr>
          <w:rFonts w:ascii="黑体" w:hAnsi="黑体" w:eastAsia="黑体" w:cs="黑体"/>
          <w:spacing w:val="7"/>
          <w:sz w:val="31"/>
          <w:szCs w:val="31"/>
        </w:rPr>
        <w:t>5.1</w:t>
      </w:r>
      <w:r>
        <w:rPr>
          <w:rFonts w:ascii="黑体" w:hAnsi="黑体" w:eastAsia="黑体" w:cs="黑体"/>
          <w:spacing w:val="-64"/>
          <w:sz w:val="31"/>
          <w:szCs w:val="31"/>
        </w:rPr>
        <w:t xml:space="preserve"> </w:t>
      </w:r>
      <w:r>
        <w:rPr>
          <w:rFonts w:hint="eastAsia" w:ascii="黑体" w:hAnsi="黑体" w:eastAsia="黑体" w:cs="黑体"/>
          <w:spacing w:val="7"/>
          <w:sz w:val="31"/>
          <w:szCs w:val="31"/>
          <w:lang w:eastAsia="zh-CN"/>
        </w:rPr>
        <w:t>报名登记表</w:t>
      </w:r>
    </w:p>
    <w:p w14:paraId="24BD33C2">
      <w:pPr>
        <w:spacing w:before="126"/>
      </w:pPr>
    </w:p>
    <w:tbl>
      <w:tblPr>
        <w:tblStyle w:val="18"/>
        <w:tblW w:w="8716" w:type="dxa"/>
        <w:tblInd w:w="10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41"/>
        <w:gridCol w:w="2698"/>
        <w:gridCol w:w="1339"/>
        <w:gridCol w:w="2838"/>
      </w:tblGrid>
      <w:tr w14:paraId="0B1F9C0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2" w:hRule="atLeast"/>
        </w:trPr>
        <w:tc>
          <w:tcPr>
            <w:tcW w:w="1841" w:type="dxa"/>
            <w:vAlign w:val="center"/>
          </w:tcPr>
          <w:p w14:paraId="1F9C4788">
            <w:pPr>
              <w:pStyle w:val="19"/>
              <w:spacing w:before="175"/>
              <w:ind w:right="361"/>
              <w:jc w:val="center"/>
            </w:pPr>
            <w:r>
              <w:rPr>
                <w:spacing w:val="-13"/>
              </w:rPr>
              <w:t>企业</w:t>
            </w:r>
            <w:r>
              <w:rPr>
                <w:rFonts w:ascii="宋体" w:hAnsi="宋体" w:eastAsia="宋体" w:cs="宋体"/>
                <w:spacing w:val="-13"/>
              </w:rPr>
              <w:t>/</w:t>
            </w:r>
            <w:r>
              <w:rPr>
                <w:spacing w:val="-13"/>
              </w:rPr>
              <w:t>事业</w:t>
            </w:r>
            <w:r>
              <w:rPr>
                <w:spacing w:val="-9"/>
              </w:rPr>
              <w:t>称</w:t>
            </w:r>
          </w:p>
        </w:tc>
        <w:tc>
          <w:tcPr>
            <w:tcW w:w="2698" w:type="dxa"/>
            <w:vAlign w:val="center"/>
          </w:tcPr>
          <w:p w14:paraId="275D3F31">
            <w:pPr>
              <w:jc w:val="center"/>
            </w:pPr>
          </w:p>
        </w:tc>
        <w:tc>
          <w:tcPr>
            <w:tcW w:w="1339" w:type="dxa"/>
            <w:vAlign w:val="center"/>
          </w:tcPr>
          <w:p w14:paraId="5BEF493D">
            <w:pPr>
              <w:pStyle w:val="19"/>
              <w:spacing w:before="78" w:line="223" w:lineRule="auto"/>
              <w:jc w:val="center"/>
            </w:pPr>
            <w:r>
              <w:rPr>
                <w:spacing w:val="-11"/>
              </w:rPr>
              <w:t>成立日期</w:t>
            </w:r>
          </w:p>
        </w:tc>
        <w:tc>
          <w:tcPr>
            <w:tcW w:w="2838" w:type="dxa"/>
            <w:vAlign w:val="center"/>
          </w:tcPr>
          <w:p w14:paraId="7F72FB74">
            <w:pPr>
              <w:jc w:val="center"/>
            </w:pPr>
          </w:p>
        </w:tc>
      </w:tr>
      <w:tr w14:paraId="118142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4539" w:type="dxa"/>
            <w:gridSpan w:val="2"/>
          </w:tcPr>
          <w:p w14:paraId="1A12CF32">
            <w:pPr>
              <w:pStyle w:val="19"/>
              <w:spacing w:before="175"/>
              <w:ind w:right="361"/>
              <w:jc w:val="both"/>
              <w:rPr>
                <w:spacing w:val="-13"/>
                <w:lang w:eastAsia="zh-CN"/>
              </w:rPr>
            </w:pPr>
            <w:r>
              <w:rPr>
                <w:spacing w:val="-13"/>
                <w:lang w:eastAsia="zh-CN"/>
              </w:rPr>
              <w:t>企业/事业法人营业执照注册号</w:t>
            </w:r>
          </w:p>
        </w:tc>
        <w:tc>
          <w:tcPr>
            <w:tcW w:w="4177" w:type="dxa"/>
            <w:gridSpan w:val="2"/>
          </w:tcPr>
          <w:p w14:paraId="3B5FFC4F">
            <w:pPr>
              <w:pStyle w:val="19"/>
              <w:spacing w:before="175"/>
              <w:ind w:right="361"/>
              <w:jc w:val="center"/>
              <w:rPr>
                <w:spacing w:val="-13"/>
                <w:lang w:eastAsia="zh-CN"/>
              </w:rPr>
            </w:pPr>
          </w:p>
        </w:tc>
      </w:tr>
      <w:tr w14:paraId="132D97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7" w:hRule="atLeast"/>
        </w:trPr>
        <w:tc>
          <w:tcPr>
            <w:tcW w:w="1841" w:type="dxa"/>
            <w:vAlign w:val="center"/>
          </w:tcPr>
          <w:p w14:paraId="47C1EEEC">
            <w:pPr>
              <w:pStyle w:val="19"/>
              <w:spacing w:before="175"/>
              <w:ind w:right="361"/>
              <w:jc w:val="center"/>
              <w:rPr>
                <w:spacing w:val="-13"/>
              </w:rPr>
            </w:pPr>
            <w:r>
              <w:rPr>
                <w:spacing w:val="-13"/>
              </w:rPr>
              <w:t>注册资本</w:t>
            </w:r>
          </w:p>
        </w:tc>
        <w:tc>
          <w:tcPr>
            <w:tcW w:w="2698" w:type="dxa"/>
          </w:tcPr>
          <w:p w14:paraId="2FAAC5D4">
            <w:pPr>
              <w:pStyle w:val="19"/>
              <w:spacing w:before="175"/>
              <w:ind w:right="361"/>
              <w:jc w:val="center"/>
              <w:rPr>
                <w:spacing w:val="-13"/>
              </w:rPr>
            </w:pPr>
          </w:p>
        </w:tc>
        <w:tc>
          <w:tcPr>
            <w:tcW w:w="1339" w:type="dxa"/>
            <w:vAlign w:val="center"/>
          </w:tcPr>
          <w:p w14:paraId="272E07CC">
            <w:pPr>
              <w:pStyle w:val="19"/>
              <w:spacing w:before="175"/>
              <w:ind w:right="361"/>
              <w:jc w:val="center"/>
              <w:rPr>
                <w:spacing w:val="-13"/>
              </w:rPr>
            </w:pPr>
            <w:r>
              <w:rPr>
                <w:spacing w:val="-13"/>
              </w:rPr>
              <w:t>企业/事业类型</w:t>
            </w:r>
          </w:p>
        </w:tc>
        <w:tc>
          <w:tcPr>
            <w:tcW w:w="2838" w:type="dxa"/>
          </w:tcPr>
          <w:p w14:paraId="26603E02">
            <w:pPr>
              <w:pStyle w:val="19"/>
              <w:spacing w:before="175"/>
              <w:ind w:right="361"/>
              <w:jc w:val="center"/>
              <w:rPr>
                <w:spacing w:val="-13"/>
              </w:rPr>
            </w:pPr>
          </w:p>
        </w:tc>
      </w:tr>
      <w:tr w14:paraId="57A0A9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47" w:hRule="atLeast"/>
        </w:trPr>
        <w:tc>
          <w:tcPr>
            <w:tcW w:w="1841" w:type="dxa"/>
            <w:vAlign w:val="center"/>
          </w:tcPr>
          <w:p w14:paraId="3BABB628">
            <w:pPr>
              <w:pStyle w:val="19"/>
              <w:spacing w:before="175"/>
              <w:ind w:right="361"/>
              <w:jc w:val="center"/>
              <w:rPr>
                <w:spacing w:val="-13"/>
              </w:rPr>
            </w:pPr>
            <w:r>
              <w:rPr>
                <w:spacing w:val="-13"/>
              </w:rPr>
              <w:t>批准登记机关</w:t>
            </w:r>
          </w:p>
        </w:tc>
        <w:tc>
          <w:tcPr>
            <w:tcW w:w="2698" w:type="dxa"/>
            <w:vAlign w:val="center"/>
          </w:tcPr>
          <w:p w14:paraId="19136723">
            <w:pPr>
              <w:pStyle w:val="19"/>
              <w:spacing w:before="175"/>
              <w:ind w:right="361"/>
              <w:jc w:val="center"/>
              <w:rPr>
                <w:spacing w:val="-13"/>
              </w:rPr>
            </w:pPr>
          </w:p>
        </w:tc>
        <w:tc>
          <w:tcPr>
            <w:tcW w:w="1339" w:type="dxa"/>
            <w:vAlign w:val="center"/>
          </w:tcPr>
          <w:p w14:paraId="1988FB04">
            <w:pPr>
              <w:pStyle w:val="19"/>
              <w:spacing w:before="175"/>
              <w:ind w:right="361"/>
              <w:jc w:val="center"/>
              <w:rPr>
                <w:spacing w:val="-13"/>
              </w:rPr>
            </w:pPr>
            <w:r>
              <w:rPr>
                <w:spacing w:val="-13"/>
              </w:rPr>
              <w:t>组织代码</w:t>
            </w:r>
          </w:p>
        </w:tc>
        <w:tc>
          <w:tcPr>
            <w:tcW w:w="2838" w:type="dxa"/>
          </w:tcPr>
          <w:p w14:paraId="79EED9F4">
            <w:pPr>
              <w:pStyle w:val="19"/>
              <w:spacing w:before="175"/>
              <w:ind w:right="361"/>
              <w:jc w:val="center"/>
              <w:rPr>
                <w:spacing w:val="-13"/>
              </w:rPr>
            </w:pPr>
          </w:p>
        </w:tc>
      </w:tr>
      <w:tr w14:paraId="0FAA366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1841" w:type="dxa"/>
            <w:vAlign w:val="center"/>
          </w:tcPr>
          <w:p w14:paraId="5250A443">
            <w:pPr>
              <w:pStyle w:val="19"/>
              <w:spacing w:before="175"/>
              <w:ind w:right="361"/>
              <w:jc w:val="center"/>
              <w:rPr>
                <w:spacing w:val="-13"/>
              </w:rPr>
            </w:pPr>
            <w:r>
              <w:rPr>
                <w:spacing w:val="-13"/>
              </w:rPr>
              <w:t>法定代表人</w:t>
            </w:r>
          </w:p>
        </w:tc>
        <w:tc>
          <w:tcPr>
            <w:tcW w:w="2698" w:type="dxa"/>
            <w:vAlign w:val="center"/>
          </w:tcPr>
          <w:p w14:paraId="4EA39A30">
            <w:pPr>
              <w:pStyle w:val="19"/>
              <w:spacing w:before="175"/>
              <w:ind w:right="361"/>
              <w:jc w:val="center"/>
              <w:rPr>
                <w:spacing w:val="-13"/>
              </w:rPr>
            </w:pPr>
          </w:p>
        </w:tc>
        <w:tc>
          <w:tcPr>
            <w:tcW w:w="1339" w:type="dxa"/>
            <w:vAlign w:val="center"/>
          </w:tcPr>
          <w:p w14:paraId="1DB32650">
            <w:pPr>
              <w:pStyle w:val="19"/>
              <w:spacing w:before="175"/>
              <w:ind w:right="361"/>
              <w:jc w:val="center"/>
              <w:rPr>
                <w:spacing w:val="-13"/>
              </w:rPr>
            </w:pPr>
            <w:r>
              <w:rPr>
                <w:spacing w:val="-13"/>
              </w:rPr>
              <w:t>营业期限</w:t>
            </w:r>
          </w:p>
        </w:tc>
        <w:tc>
          <w:tcPr>
            <w:tcW w:w="2838" w:type="dxa"/>
          </w:tcPr>
          <w:p w14:paraId="2CEB092C">
            <w:pPr>
              <w:pStyle w:val="19"/>
              <w:spacing w:before="175"/>
              <w:ind w:right="361"/>
              <w:jc w:val="center"/>
              <w:rPr>
                <w:spacing w:val="-13"/>
              </w:rPr>
            </w:pPr>
          </w:p>
        </w:tc>
      </w:tr>
      <w:tr w14:paraId="307DE68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2" w:hRule="atLeast"/>
        </w:trPr>
        <w:tc>
          <w:tcPr>
            <w:tcW w:w="1841" w:type="dxa"/>
            <w:vAlign w:val="center"/>
          </w:tcPr>
          <w:p w14:paraId="09993630">
            <w:pPr>
              <w:pStyle w:val="19"/>
              <w:spacing w:before="175"/>
              <w:ind w:right="361"/>
              <w:jc w:val="center"/>
              <w:rPr>
                <w:spacing w:val="-13"/>
              </w:rPr>
            </w:pPr>
            <w:r>
              <w:rPr>
                <w:spacing w:val="-13"/>
              </w:rPr>
              <w:t>资质类型</w:t>
            </w:r>
          </w:p>
        </w:tc>
        <w:tc>
          <w:tcPr>
            <w:tcW w:w="2698" w:type="dxa"/>
            <w:vAlign w:val="center"/>
          </w:tcPr>
          <w:p w14:paraId="64A4B97D">
            <w:pPr>
              <w:pStyle w:val="19"/>
              <w:spacing w:before="175"/>
              <w:ind w:right="361"/>
              <w:jc w:val="center"/>
              <w:rPr>
                <w:spacing w:val="-13"/>
              </w:rPr>
            </w:pPr>
          </w:p>
        </w:tc>
        <w:tc>
          <w:tcPr>
            <w:tcW w:w="1339" w:type="dxa"/>
            <w:vAlign w:val="center"/>
          </w:tcPr>
          <w:p w14:paraId="69980C02">
            <w:pPr>
              <w:pStyle w:val="19"/>
              <w:spacing w:before="175"/>
              <w:ind w:right="361"/>
              <w:jc w:val="center"/>
              <w:rPr>
                <w:spacing w:val="-13"/>
              </w:rPr>
            </w:pPr>
            <w:r>
              <w:rPr>
                <w:spacing w:val="-13"/>
              </w:rPr>
              <w:t>资质等级</w:t>
            </w:r>
          </w:p>
        </w:tc>
        <w:tc>
          <w:tcPr>
            <w:tcW w:w="2838" w:type="dxa"/>
          </w:tcPr>
          <w:p w14:paraId="597E5317">
            <w:pPr>
              <w:pStyle w:val="19"/>
              <w:spacing w:before="175"/>
              <w:ind w:right="361"/>
              <w:jc w:val="center"/>
              <w:rPr>
                <w:spacing w:val="-13"/>
              </w:rPr>
            </w:pPr>
          </w:p>
        </w:tc>
      </w:tr>
      <w:tr w14:paraId="196034C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5" w:hRule="atLeast"/>
        </w:trPr>
        <w:tc>
          <w:tcPr>
            <w:tcW w:w="1841" w:type="dxa"/>
            <w:vAlign w:val="center"/>
          </w:tcPr>
          <w:p w14:paraId="5325E76F">
            <w:pPr>
              <w:pStyle w:val="19"/>
              <w:spacing w:before="175"/>
              <w:ind w:right="361"/>
              <w:jc w:val="center"/>
              <w:rPr>
                <w:spacing w:val="-13"/>
              </w:rPr>
            </w:pPr>
            <w:r>
              <w:rPr>
                <w:spacing w:val="-13"/>
              </w:rPr>
              <w:t>主营业务</w:t>
            </w:r>
          </w:p>
        </w:tc>
        <w:tc>
          <w:tcPr>
            <w:tcW w:w="6875" w:type="dxa"/>
            <w:gridSpan w:val="3"/>
            <w:vAlign w:val="center"/>
          </w:tcPr>
          <w:p w14:paraId="43491FE0">
            <w:pPr>
              <w:pStyle w:val="19"/>
              <w:spacing w:before="175"/>
              <w:ind w:right="361"/>
              <w:jc w:val="center"/>
              <w:rPr>
                <w:spacing w:val="-13"/>
              </w:rPr>
            </w:pPr>
          </w:p>
        </w:tc>
      </w:tr>
      <w:tr w14:paraId="27B0B6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5" w:hRule="atLeast"/>
        </w:trPr>
        <w:tc>
          <w:tcPr>
            <w:tcW w:w="1841" w:type="dxa"/>
            <w:vAlign w:val="center"/>
          </w:tcPr>
          <w:p w14:paraId="7F907D96">
            <w:pPr>
              <w:pStyle w:val="19"/>
              <w:spacing w:before="175"/>
              <w:ind w:right="361"/>
              <w:jc w:val="center"/>
              <w:rPr>
                <w:spacing w:val="-13"/>
              </w:rPr>
            </w:pPr>
            <w:r>
              <w:rPr>
                <w:spacing w:val="-13"/>
              </w:rPr>
              <w:t>地址</w:t>
            </w:r>
          </w:p>
        </w:tc>
        <w:tc>
          <w:tcPr>
            <w:tcW w:w="6875" w:type="dxa"/>
            <w:gridSpan w:val="3"/>
            <w:vAlign w:val="center"/>
          </w:tcPr>
          <w:p w14:paraId="19CEA8E8">
            <w:pPr>
              <w:pStyle w:val="19"/>
              <w:spacing w:before="175"/>
              <w:ind w:right="361"/>
              <w:jc w:val="center"/>
              <w:rPr>
                <w:spacing w:val="-13"/>
              </w:rPr>
            </w:pPr>
          </w:p>
        </w:tc>
      </w:tr>
      <w:tr w14:paraId="1EF87AC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1841" w:type="dxa"/>
            <w:vAlign w:val="center"/>
          </w:tcPr>
          <w:p w14:paraId="1A2002D4">
            <w:pPr>
              <w:pStyle w:val="19"/>
              <w:spacing w:before="175"/>
              <w:ind w:right="361"/>
              <w:jc w:val="center"/>
              <w:rPr>
                <w:spacing w:val="-13"/>
              </w:rPr>
            </w:pPr>
            <w:r>
              <w:rPr>
                <w:spacing w:val="-13"/>
              </w:rPr>
              <w:t>开户银行</w:t>
            </w:r>
          </w:p>
        </w:tc>
        <w:tc>
          <w:tcPr>
            <w:tcW w:w="6875" w:type="dxa"/>
            <w:gridSpan w:val="3"/>
            <w:vAlign w:val="center"/>
          </w:tcPr>
          <w:p w14:paraId="17CDBC61">
            <w:pPr>
              <w:pStyle w:val="19"/>
              <w:spacing w:before="175"/>
              <w:ind w:right="361"/>
              <w:jc w:val="center"/>
              <w:rPr>
                <w:spacing w:val="-13"/>
              </w:rPr>
            </w:pPr>
          </w:p>
        </w:tc>
      </w:tr>
      <w:tr w14:paraId="47466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1841" w:type="dxa"/>
            <w:vAlign w:val="center"/>
          </w:tcPr>
          <w:p w14:paraId="6E5751EB">
            <w:pPr>
              <w:pStyle w:val="19"/>
              <w:spacing w:before="175"/>
              <w:ind w:right="361"/>
              <w:jc w:val="center"/>
              <w:rPr>
                <w:spacing w:val="-13"/>
              </w:rPr>
            </w:pPr>
            <w:r>
              <w:rPr>
                <w:spacing w:val="-13"/>
              </w:rPr>
              <w:t>开户行号</w:t>
            </w:r>
          </w:p>
        </w:tc>
        <w:tc>
          <w:tcPr>
            <w:tcW w:w="6875" w:type="dxa"/>
            <w:gridSpan w:val="3"/>
            <w:vAlign w:val="center"/>
          </w:tcPr>
          <w:p w14:paraId="7ED0FC0B">
            <w:pPr>
              <w:pStyle w:val="19"/>
              <w:spacing w:before="175"/>
              <w:ind w:right="361"/>
              <w:jc w:val="center"/>
              <w:rPr>
                <w:spacing w:val="-13"/>
              </w:rPr>
            </w:pPr>
          </w:p>
        </w:tc>
      </w:tr>
      <w:tr w14:paraId="1EE8CB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7" w:hRule="atLeast"/>
        </w:trPr>
        <w:tc>
          <w:tcPr>
            <w:tcW w:w="1841" w:type="dxa"/>
            <w:vAlign w:val="center"/>
          </w:tcPr>
          <w:p w14:paraId="4CB17582">
            <w:pPr>
              <w:pStyle w:val="19"/>
              <w:spacing w:before="175"/>
              <w:ind w:right="361"/>
              <w:jc w:val="center"/>
              <w:rPr>
                <w:spacing w:val="-13"/>
              </w:rPr>
            </w:pPr>
            <w:r>
              <w:rPr>
                <w:spacing w:val="-13"/>
              </w:rPr>
              <w:t>银行账号</w:t>
            </w:r>
          </w:p>
        </w:tc>
        <w:tc>
          <w:tcPr>
            <w:tcW w:w="6875" w:type="dxa"/>
            <w:gridSpan w:val="3"/>
            <w:vAlign w:val="center"/>
          </w:tcPr>
          <w:p w14:paraId="579350E8">
            <w:pPr>
              <w:pStyle w:val="19"/>
              <w:spacing w:before="175"/>
              <w:ind w:right="361"/>
              <w:jc w:val="center"/>
              <w:rPr>
                <w:spacing w:val="-13"/>
              </w:rPr>
            </w:pPr>
          </w:p>
        </w:tc>
      </w:tr>
      <w:tr w14:paraId="581D170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1" w:hRule="atLeast"/>
        </w:trPr>
        <w:tc>
          <w:tcPr>
            <w:tcW w:w="1841" w:type="dxa"/>
            <w:vAlign w:val="center"/>
          </w:tcPr>
          <w:p w14:paraId="147E7AFE">
            <w:pPr>
              <w:pStyle w:val="19"/>
              <w:spacing w:before="175"/>
              <w:ind w:right="361"/>
              <w:jc w:val="center"/>
              <w:rPr>
                <w:spacing w:val="-13"/>
              </w:rPr>
            </w:pPr>
            <w:r>
              <w:rPr>
                <w:spacing w:val="-13"/>
              </w:rPr>
              <w:t>电话</w:t>
            </w:r>
          </w:p>
        </w:tc>
        <w:tc>
          <w:tcPr>
            <w:tcW w:w="2698" w:type="dxa"/>
            <w:vAlign w:val="center"/>
          </w:tcPr>
          <w:p w14:paraId="185982DF">
            <w:pPr>
              <w:pStyle w:val="19"/>
              <w:spacing w:before="175"/>
              <w:ind w:right="361"/>
              <w:jc w:val="center"/>
              <w:rPr>
                <w:spacing w:val="-13"/>
              </w:rPr>
            </w:pPr>
          </w:p>
        </w:tc>
        <w:tc>
          <w:tcPr>
            <w:tcW w:w="1339" w:type="dxa"/>
            <w:vAlign w:val="center"/>
          </w:tcPr>
          <w:p w14:paraId="2B22B334">
            <w:pPr>
              <w:pStyle w:val="19"/>
              <w:spacing w:before="175"/>
              <w:ind w:right="361"/>
              <w:jc w:val="center"/>
              <w:rPr>
                <w:spacing w:val="-13"/>
              </w:rPr>
            </w:pPr>
            <w:r>
              <w:rPr>
                <w:spacing w:val="-13"/>
              </w:rPr>
              <w:t>传真</w:t>
            </w:r>
          </w:p>
        </w:tc>
        <w:tc>
          <w:tcPr>
            <w:tcW w:w="2838" w:type="dxa"/>
          </w:tcPr>
          <w:p w14:paraId="2C89EC21">
            <w:pPr>
              <w:pStyle w:val="19"/>
              <w:spacing w:before="175"/>
              <w:ind w:right="361"/>
              <w:jc w:val="center"/>
              <w:rPr>
                <w:spacing w:val="-13"/>
              </w:rPr>
            </w:pPr>
          </w:p>
        </w:tc>
      </w:tr>
      <w:tr w14:paraId="298846F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1841" w:type="dxa"/>
            <w:vAlign w:val="center"/>
          </w:tcPr>
          <w:p w14:paraId="49F19222">
            <w:pPr>
              <w:pStyle w:val="19"/>
              <w:spacing w:before="175"/>
              <w:ind w:right="361"/>
              <w:jc w:val="center"/>
              <w:rPr>
                <w:spacing w:val="-13"/>
              </w:rPr>
            </w:pPr>
            <w:r>
              <w:rPr>
                <w:spacing w:val="-13"/>
              </w:rPr>
              <w:t>邮箱</w:t>
            </w:r>
          </w:p>
        </w:tc>
        <w:tc>
          <w:tcPr>
            <w:tcW w:w="2698" w:type="dxa"/>
            <w:vAlign w:val="center"/>
          </w:tcPr>
          <w:p w14:paraId="4473762E">
            <w:pPr>
              <w:pStyle w:val="19"/>
              <w:spacing w:before="175"/>
              <w:ind w:right="361"/>
              <w:jc w:val="center"/>
              <w:rPr>
                <w:spacing w:val="-13"/>
              </w:rPr>
            </w:pPr>
          </w:p>
        </w:tc>
        <w:tc>
          <w:tcPr>
            <w:tcW w:w="1339" w:type="dxa"/>
            <w:vAlign w:val="center"/>
          </w:tcPr>
          <w:p w14:paraId="580C4758">
            <w:pPr>
              <w:pStyle w:val="19"/>
              <w:spacing w:before="175"/>
              <w:ind w:right="361"/>
              <w:jc w:val="center"/>
              <w:rPr>
                <w:spacing w:val="-13"/>
              </w:rPr>
            </w:pPr>
            <w:r>
              <w:rPr>
                <w:spacing w:val="-13"/>
              </w:rPr>
              <w:t>邮编</w:t>
            </w:r>
          </w:p>
        </w:tc>
        <w:tc>
          <w:tcPr>
            <w:tcW w:w="2838" w:type="dxa"/>
          </w:tcPr>
          <w:p w14:paraId="1C6433D7">
            <w:pPr>
              <w:pStyle w:val="19"/>
              <w:spacing w:before="175"/>
              <w:ind w:right="361"/>
              <w:jc w:val="center"/>
              <w:rPr>
                <w:spacing w:val="-13"/>
              </w:rPr>
            </w:pPr>
          </w:p>
        </w:tc>
      </w:tr>
      <w:tr w14:paraId="6DA4AEA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5" w:hRule="atLeast"/>
        </w:trPr>
        <w:tc>
          <w:tcPr>
            <w:tcW w:w="1841" w:type="dxa"/>
            <w:vAlign w:val="center"/>
          </w:tcPr>
          <w:p w14:paraId="442F36C4">
            <w:pPr>
              <w:pStyle w:val="19"/>
              <w:spacing w:before="175"/>
              <w:ind w:right="361"/>
              <w:jc w:val="center"/>
              <w:rPr>
                <w:spacing w:val="-13"/>
              </w:rPr>
            </w:pPr>
            <w:r>
              <w:rPr>
                <w:spacing w:val="-13"/>
              </w:rPr>
              <w:t>联系人</w:t>
            </w:r>
          </w:p>
        </w:tc>
        <w:tc>
          <w:tcPr>
            <w:tcW w:w="2698" w:type="dxa"/>
            <w:vAlign w:val="center"/>
          </w:tcPr>
          <w:p w14:paraId="7BE57391">
            <w:pPr>
              <w:pStyle w:val="19"/>
              <w:spacing w:before="175"/>
              <w:ind w:right="361"/>
              <w:jc w:val="center"/>
              <w:rPr>
                <w:spacing w:val="-13"/>
              </w:rPr>
            </w:pPr>
          </w:p>
        </w:tc>
        <w:tc>
          <w:tcPr>
            <w:tcW w:w="1339" w:type="dxa"/>
            <w:vAlign w:val="center"/>
          </w:tcPr>
          <w:p w14:paraId="2474F50A">
            <w:pPr>
              <w:pStyle w:val="19"/>
              <w:spacing w:before="175"/>
              <w:ind w:right="361"/>
              <w:jc w:val="center"/>
              <w:rPr>
                <w:spacing w:val="-13"/>
              </w:rPr>
            </w:pPr>
            <w:r>
              <w:rPr>
                <w:spacing w:val="-13"/>
              </w:rPr>
              <w:t>联系方式</w:t>
            </w:r>
          </w:p>
        </w:tc>
        <w:tc>
          <w:tcPr>
            <w:tcW w:w="2838" w:type="dxa"/>
          </w:tcPr>
          <w:p w14:paraId="5E1974F4">
            <w:pPr>
              <w:pStyle w:val="19"/>
              <w:spacing w:before="175"/>
              <w:ind w:right="361"/>
              <w:jc w:val="center"/>
              <w:rPr>
                <w:spacing w:val="-13"/>
              </w:rPr>
            </w:pPr>
          </w:p>
        </w:tc>
      </w:tr>
    </w:tbl>
    <w:p w14:paraId="27E05635">
      <w:pPr>
        <w:pStyle w:val="19"/>
        <w:spacing w:before="175"/>
        <w:ind w:right="361"/>
        <w:jc w:val="center"/>
        <w:rPr>
          <w:spacing w:val="-13"/>
        </w:rPr>
      </w:pPr>
    </w:p>
    <w:p w14:paraId="1CD0BEB3">
      <w:pPr>
        <w:pStyle w:val="7"/>
        <w:spacing w:line="330" w:lineRule="auto"/>
      </w:pPr>
    </w:p>
    <w:p w14:paraId="0C632D82"/>
    <w:p w14:paraId="185732E8">
      <w:pPr>
        <w:spacing w:before="101" w:line="227" w:lineRule="auto"/>
        <w:ind w:left="328"/>
        <w:outlineLvl w:val="1"/>
        <w:rPr>
          <w:rFonts w:ascii="黑体" w:hAnsi="黑体" w:eastAsia="黑体" w:cs="黑体"/>
          <w:sz w:val="31"/>
          <w:szCs w:val="31"/>
        </w:rPr>
      </w:pPr>
      <w:r>
        <w:rPr>
          <w:rFonts w:ascii="黑体" w:hAnsi="黑体" w:eastAsia="黑体" w:cs="黑体"/>
          <w:spacing w:val="5"/>
          <w:sz w:val="31"/>
          <w:szCs w:val="31"/>
        </w:rPr>
        <w:t>5.2</w:t>
      </w:r>
      <w:r>
        <w:rPr>
          <w:rFonts w:ascii="黑体" w:hAnsi="黑体" w:eastAsia="黑体" w:cs="黑体"/>
          <w:spacing w:val="-57"/>
          <w:sz w:val="31"/>
          <w:szCs w:val="31"/>
        </w:rPr>
        <w:t xml:space="preserve"> </w:t>
      </w:r>
      <w:r>
        <w:rPr>
          <w:rFonts w:ascii="黑体" w:hAnsi="黑体" w:eastAsia="黑体" w:cs="黑体"/>
          <w:spacing w:val="5"/>
          <w:sz w:val="31"/>
          <w:szCs w:val="31"/>
        </w:rPr>
        <w:t>项目报价表</w:t>
      </w:r>
    </w:p>
    <w:p w14:paraId="063BDFEC">
      <w:pPr>
        <w:pStyle w:val="7"/>
        <w:spacing w:line="326" w:lineRule="auto"/>
      </w:pPr>
    </w:p>
    <w:p w14:paraId="569127EA">
      <w:pPr>
        <w:spacing w:before="78" w:line="220" w:lineRule="auto"/>
        <w:ind w:left="340"/>
        <w:outlineLvl w:val="1"/>
        <w:rPr>
          <w:rFonts w:ascii="仿宋" w:hAnsi="仿宋" w:eastAsia="仿宋" w:cs="仿宋"/>
          <w:sz w:val="24"/>
          <w:szCs w:val="24"/>
          <w:lang w:eastAsia="zh-CN"/>
        </w:rPr>
      </w:pPr>
      <w:r>
        <w:rPr>
          <w:rFonts w:ascii="仿宋" w:hAnsi="仿宋" w:eastAsia="仿宋" w:cs="仿宋"/>
          <w:spacing w:val="-11"/>
          <w:sz w:val="24"/>
          <w:szCs w:val="24"/>
          <w:lang w:eastAsia="zh-CN"/>
          <w14:textOutline w14:w="4356" w14:cap="sq" w14:cmpd="sng" w14:algn="ctr">
            <w14:solidFill>
              <w14:srgbClr w14:val="000000"/>
            </w14:solidFill>
            <w14:prstDash w14:val="solid"/>
            <w14:bevel/>
          </w14:textOutline>
        </w:rPr>
        <w:t>项目名称：</w:t>
      </w:r>
      <w:r>
        <w:rPr>
          <w:rFonts w:hint="default" w:ascii="仿宋" w:hAnsi="仿宋" w:eastAsia="仿宋" w:cs="仿宋"/>
          <w:spacing w:val="-11"/>
          <w:sz w:val="24"/>
          <w:szCs w:val="24"/>
          <w:lang w:val="en-US" w:eastAsia="zh-CN"/>
          <w14:textOutline w14:w="4356" w14:cap="sq" w14:cmpd="sng" w14:algn="ctr">
            <w14:solidFill>
              <w14:srgbClr w14:val="000000"/>
            </w14:solidFill>
            <w14:prstDash w14:val="solid"/>
            <w14:bevel/>
          </w14:textOutline>
        </w:rPr>
        <w:t>信阳市生态环境局机动车“天地车人”一体化平台运维</w:t>
      </w:r>
      <w:r>
        <w:rPr>
          <w:rFonts w:hint="eastAsia" w:ascii="仿宋" w:hAnsi="仿宋" w:eastAsia="仿宋" w:cs="仿宋"/>
          <w:spacing w:val="-11"/>
          <w:sz w:val="24"/>
          <w:szCs w:val="24"/>
          <w:lang w:eastAsia="zh-CN"/>
          <w14:textOutline w14:w="4356" w14:cap="sq" w14:cmpd="sng" w14:algn="ctr">
            <w14:solidFill>
              <w14:srgbClr w14:val="000000"/>
            </w14:solidFill>
            <w14:prstDash w14:val="solid"/>
            <w14:bevel/>
          </w14:textOutline>
        </w:rPr>
        <w:t>项目</w:t>
      </w:r>
    </w:p>
    <w:p w14:paraId="77E08176">
      <w:pPr>
        <w:spacing w:before="27"/>
        <w:rPr>
          <w:lang w:eastAsia="zh-CN"/>
        </w:rPr>
      </w:pPr>
    </w:p>
    <w:tbl>
      <w:tblPr>
        <w:tblStyle w:val="18"/>
        <w:tblW w:w="921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680"/>
        <w:gridCol w:w="1027"/>
        <w:gridCol w:w="2635"/>
        <w:gridCol w:w="1315"/>
        <w:gridCol w:w="1557"/>
      </w:tblGrid>
      <w:tr w14:paraId="35CD81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8" w:hRule="atLeast"/>
        </w:trPr>
        <w:tc>
          <w:tcPr>
            <w:tcW w:w="2680" w:type="dxa"/>
          </w:tcPr>
          <w:p w14:paraId="3E279B9E">
            <w:pPr>
              <w:pStyle w:val="19"/>
              <w:spacing w:before="183" w:line="221" w:lineRule="auto"/>
              <w:ind w:left="1130"/>
            </w:pPr>
            <w:r>
              <w:rPr>
                <w:spacing w:val="-9"/>
              </w:rPr>
              <w:t>名称</w:t>
            </w:r>
          </w:p>
        </w:tc>
        <w:tc>
          <w:tcPr>
            <w:tcW w:w="1027" w:type="dxa"/>
          </w:tcPr>
          <w:p w14:paraId="53FDFBDE">
            <w:pPr>
              <w:pStyle w:val="19"/>
              <w:spacing w:before="184" w:line="223" w:lineRule="auto"/>
              <w:ind w:left="344"/>
            </w:pPr>
            <w:r>
              <w:rPr>
                <w:spacing w:val="-8"/>
              </w:rPr>
              <w:t>数量</w:t>
            </w:r>
          </w:p>
        </w:tc>
        <w:tc>
          <w:tcPr>
            <w:tcW w:w="2635" w:type="dxa"/>
          </w:tcPr>
          <w:p w14:paraId="3A46AE03">
            <w:pPr>
              <w:pStyle w:val="19"/>
              <w:spacing w:before="184" w:line="222" w:lineRule="auto"/>
              <w:ind w:left="348"/>
            </w:pPr>
            <w:r>
              <w:rPr>
                <w:spacing w:val="-12"/>
              </w:rPr>
              <w:t>项目报价（万元）</w:t>
            </w:r>
          </w:p>
        </w:tc>
        <w:tc>
          <w:tcPr>
            <w:tcW w:w="1315" w:type="dxa"/>
          </w:tcPr>
          <w:p w14:paraId="7A8BFF5B">
            <w:pPr>
              <w:pStyle w:val="19"/>
              <w:spacing w:before="184" w:line="222" w:lineRule="auto"/>
              <w:ind w:left="217"/>
            </w:pPr>
            <w:r>
              <w:rPr>
                <w:spacing w:val="-10"/>
              </w:rPr>
              <w:t>服务时间</w:t>
            </w:r>
          </w:p>
        </w:tc>
        <w:tc>
          <w:tcPr>
            <w:tcW w:w="1557" w:type="dxa"/>
          </w:tcPr>
          <w:p w14:paraId="559AA0A4">
            <w:pPr>
              <w:pStyle w:val="19"/>
              <w:spacing w:before="184" w:line="224" w:lineRule="auto"/>
              <w:ind w:left="568"/>
            </w:pPr>
            <w:r>
              <w:rPr>
                <w:spacing w:val="-9"/>
              </w:rPr>
              <w:t>备注</w:t>
            </w:r>
          </w:p>
        </w:tc>
      </w:tr>
      <w:tr w14:paraId="5CB30A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98" w:hRule="atLeast"/>
        </w:trPr>
        <w:tc>
          <w:tcPr>
            <w:tcW w:w="2680" w:type="dxa"/>
          </w:tcPr>
          <w:p w14:paraId="3A0BDEB3"/>
        </w:tc>
        <w:tc>
          <w:tcPr>
            <w:tcW w:w="1027" w:type="dxa"/>
          </w:tcPr>
          <w:p w14:paraId="01D87BA9">
            <w:pPr>
              <w:spacing w:before="315" w:line="184" w:lineRule="auto"/>
              <w:ind w:left="485"/>
              <w:rPr>
                <w:rFonts w:ascii="宋体" w:hAnsi="宋体" w:eastAsia="宋体" w:cs="宋体"/>
                <w:sz w:val="24"/>
                <w:szCs w:val="24"/>
              </w:rPr>
            </w:pPr>
          </w:p>
        </w:tc>
        <w:tc>
          <w:tcPr>
            <w:tcW w:w="2635" w:type="dxa"/>
          </w:tcPr>
          <w:p w14:paraId="0FDA8165"/>
        </w:tc>
        <w:tc>
          <w:tcPr>
            <w:tcW w:w="1315" w:type="dxa"/>
          </w:tcPr>
          <w:p w14:paraId="495D197F"/>
        </w:tc>
        <w:tc>
          <w:tcPr>
            <w:tcW w:w="1557" w:type="dxa"/>
          </w:tcPr>
          <w:p w14:paraId="5ADEE6D8"/>
        </w:tc>
      </w:tr>
    </w:tbl>
    <w:p w14:paraId="061FBDAC">
      <w:pPr>
        <w:spacing w:before="56" w:line="222" w:lineRule="auto"/>
        <w:ind w:left="543"/>
        <w:rPr>
          <w:rFonts w:ascii="仿宋" w:hAnsi="仿宋" w:eastAsia="仿宋" w:cs="仿宋"/>
          <w:sz w:val="24"/>
          <w:szCs w:val="24"/>
          <w:lang w:eastAsia="zh-CN"/>
        </w:rPr>
      </w:pPr>
      <w:r>
        <w:rPr>
          <w:rFonts w:ascii="仿宋" w:hAnsi="仿宋" w:eastAsia="仿宋" w:cs="仿宋"/>
          <w:spacing w:val="-12"/>
          <w:sz w:val="24"/>
          <w:szCs w:val="24"/>
          <w:lang w:eastAsia="zh-CN"/>
        </w:rPr>
        <w:t xml:space="preserve">注： </w:t>
      </w:r>
      <w:r>
        <w:rPr>
          <w:rFonts w:ascii="宋体" w:hAnsi="宋体" w:eastAsia="宋体" w:cs="宋体"/>
          <w:spacing w:val="-12"/>
          <w:sz w:val="24"/>
          <w:szCs w:val="24"/>
          <w:lang w:eastAsia="zh-CN"/>
        </w:rPr>
        <w:t>1</w:t>
      </w:r>
      <w:r>
        <w:rPr>
          <w:rFonts w:ascii="仿宋" w:hAnsi="仿宋" w:eastAsia="仿宋" w:cs="仿宋"/>
          <w:spacing w:val="-12"/>
          <w:sz w:val="24"/>
          <w:szCs w:val="24"/>
          <w:lang w:eastAsia="zh-CN"/>
        </w:rPr>
        <w:t>、此表应加盖公章。</w:t>
      </w:r>
    </w:p>
    <w:p w14:paraId="0E3954AE">
      <w:pPr>
        <w:pStyle w:val="7"/>
        <w:spacing w:line="246" w:lineRule="auto"/>
        <w:rPr>
          <w:lang w:eastAsia="zh-CN"/>
        </w:rPr>
      </w:pPr>
    </w:p>
    <w:p w14:paraId="64FA8497">
      <w:pPr>
        <w:pStyle w:val="7"/>
        <w:spacing w:line="247" w:lineRule="auto"/>
        <w:rPr>
          <w:lang w:eastAsia="zh-CN"/>
        </w:rPr>
      </w:pPr>
    </w:p>
    <w:p w14:paraId="51BFF699">
      <w:pPr>
        <w:pStyle w:val="7"/>
        <w:spacing w:line="247" w:lineRule="auto"/>
        <w:rPr>
          <w:lang w:eastAsia="zh-CN"/>
        </w:rPr>
      </w:pPr>
    </w:p>
    <w:p w14:paraId="6B10C3AE">
      <w:pPr>
        <w:pStyle w:val="7"/>
        <w:spacing w:line="247" w:lineRule="auto"/>
        <w:rPr>
          <w:lang w:eastAsia="zh-CN"/>
        </w:rPr>
      </w:pPr>
    </w:p>
    <w:p w14:paraId="0A38DD2E">
      <w:pPr>
        <w:tabs>
          <w:tab w:val="left" w:pos="6582"/>
        </w:tabs>
        <w:spacing w:before="92" w:line="223" w:lineRule="auto"/>
        <w:jc w:val="right"/>
        <w:rPr>
          <w:rFonts w:ascii="仿宋" w:hAnsi="仿宋" w:eastAsia="仿宋" w:cs="仿宋"/>
          <w:sz w:val="28"/>
          <w:szCs w:val="28"/>
        </w:rPr>
      </w:pPr>
    </w:p>
    <w:sectPr>
      <w:pgSz w:w="11906" w:h="16839"/>
      <w:pgMar w:top="1440" w:right="1800" w:bottom="1440" w:left="1800" w:header="0" w:footer="56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Nimbus Roman No9 L">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A4D1F4">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4EAE85">
                          <w:pPr>
                            <w:pStyle w:val="1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A4EAE85">
                    <w:pPr>
                      <w:pStyle w:val="11"/>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JlZWIzMzMxM2Y3ODgyNmE3NDQzNTMwYWZhOTcxMTgifQ=="/>
  </w:docVars>
  <w:rsids>
    <w:rsidRoot w:val="005A7FB8"/>
    <w:rsid w:val="00076791"/>
    <w:rsid w:val="00226191"/>
    <w:rsid w:val="00407ACC"/>
    <w:rsid w:val="005574FC"/>
    <w:rsid w:val="005A7FB8"/>
    <w:rsid w:val="006A4D46"/>
    <w:rsid w:val="009E6A31"/>
    <w:rsid w:val="00A760BC"/>
    <w:rsid w:val="00A77BFD"/>
    <w:rsid w:val="00E03386"/>
    <w:rsid w:val="01A9578B"/>
    <w:rsid w:val="02826214"/>
    <w:rsid w:val="02C80459"/>
    <w:rsid w:val="033068E8"/>
    <w:rsid w:val="037B6F2F"/>
    <w:rsid w:val="04074FB1"/>
    <w:rsid w:val="040F5259"/>
    <w:rsid w:val="06C31783"/>
    <w:rsid w:val="06CD3F70"/>
    <w:rsid w:val="06E550C7"/>
    <w:rsid w:val="07163C30"/>
    <w:rsid w:val="0819661D"/>
    <w:rsid w:val="08422A5C"/>
    <w:rsid w:val="08F045FB"/>
    <w:rsid w:val="0B4F116B"/>
    <w:rsid w:val="0BD40927"/>
    <w:rsid w:val="0C3B6280"/>
    <w:rsid w:val="0C590BAD"/>
    <w:rsid w:val="0D046532"/>
    <w:rsid w:val="0E750B73"/>
    <w:rsid w:val="0EB82466"/>
    <w:rsid w:val="0F380715"/>
    <w:rsid w:val="0FDE3ECE"/>
    <w:rsid w:val="0FDE4F9A"/>
    <w:rsid w:val="10275AA3"/>
    <w:rsid w:val="107005D3"/>
    <w:rsid w:val="10793F7C"/>
    <w:rsid w:val="11380EA0"/>
    <w:rsid w:val="11676B5E"/>
    <w:rsid w:val="144F5967"/>
    <w:rsid w:val="14FBBF0B"/>
    <w:rsid w:val="1537321C"/>
    <w:rsid w:val="156E30E2"/>
    <w:rsid w:val="15F630D7"/>
    <w:rsid w:val="18100480"/>
    <w:rsid w:val="183C0DD2"/>
    <w:rsid w:val="18636BC3"/>
    <w:rsid w:val="18CB43A7"/>
    <w:rsid w:val="19811475"/>
    <w:rsid w:val="1AFE7CBA"/>
    <w:rsid w:val="1B593EEC"/>
    <w:rsid w:val="1C2362A8"/>
    <w:rsid w:val="1C2C7853"/>
    <w:rsid w:val="1D2730E4"/>
    <w:rsid w:val="1D4D7A81"/>
    <w:rsid w:val="1F901EA7"/>
    <w:rsid w:val="1FCC023A"/>
    <w:rsid w:val="20634243"/>
    <w:rsid w:val="209F0117"/>
    <w:rsid w:val="20D04CB8"/>
    <w:rsid w:val="212C5C64"/>
    <w:rsid w:val="224B4976"/>
    <w:rsid w:val="22DD430D"/>
    <w:rsid w:val="230706D2"/>
    <w:rsid w:val="231045D3"/>
    <w:rsid w:val="233641C1"/>
    <w:rsid w:val="23A61C99"/>
    <w:rsid w:val="24EA3E07"/>
    <w:rsid w:val="26D11D71"/>
    <w:rsid w:val="27E45486"/>
    <w:rsid w:val="28131C63"/>
    <w:rsid w:val="28E3364C"/>
    <w:rsid w:val="29CE3CF8"/>
    <w:rsid w:val="29D34682"/>
    <w:rsid w:val="2A6B1546"/>
    <w:rsid w:val="2AA22B0E"/>
    <w:rsid w:val="2BD4136D"/>
    <w:rsid w:val="2CFC0B7C"/>
    <w:rsid w:val="2D263E4A"/>
    <w:rsid w:val="30F300D1"/>
    <w:rsid w:val="31085D41"/>
    <w:rsid w:val="319E48F7"/>
    <w:rsid w:val="31B00187"/>
    <w:rsid w:val="31C12394"/>
    <w:rsid w:val="32C77F74"/>
    <w:rsid w:val="33681108"/>
    <w:rsid w:val="33F604FF"/>
    <w:rsid w:val="348A4ACA"/>
    <w:rsid w:val="36635AA6"/>
    <w:rsid w:val="37CE75B8"/>
    <w:rsid w:val="37F46751"/>
    <w:rsid w:val="37F55D6F"/>
    <w:rsid w:val="381B2313"/>
    <w:rsid w:val="3A2D7954"/>
    <w:rsid w:val="3B0A02C8"/>
    <w:rsid w:val="3B8F6C4F"/>
    <w:rsid w:val="3C4F6238"/>
    <w:rsid w:val="3DB01826"/>
    <w:rsid w:val="3E742C68"/>
    <w:rsid w:val="3EF913BF"/>
    <w:rsid w:val="3FE67B95"/>
    <w:rsid w:val="40561BF6"/>
    <w:rsid w:val="406E761A"/>
    <w:rsid w:val="417B1CF9"/>
    <w:rsid w:val="437372DB"/>
    <w:rsid w:val="43A56FC1"/>
    <w:rsid w:val="44C9538F"/>
    <w:rsid w:val="44F7014F"/>
    <w:rsid w:val="46536E87"/>
    <w:rsid w:val="482C367D"/>
    <w:rsid w:val="484713ED"/>
    <w:rsid w:val="48641D5A"/>
    <w:rsid w:val="48F85AE0"/>
    <w:rsid w:val="494A03F7"/>
    <w:rsid w:val="49917762"/>
    <w:rsid w:val="49BC54C3"/>
    <w:rsid w:val="4A2F3EE7"/>
    <w:rsid w:val="4BFF5B3B"/>
    <w:rsid w:val="4EB96475"/>
    <w:rsid w:val="4FCD667C"/>
    <w:rsid w:val="524D13AE"/>
    <w:rsid w:val="526D5D71"/>
    <w:rsid w:val="5382152B"/>
    <w:rsid w:val="539F07FF"/>
    <w:rsid w:val="541C54DC"/>
    <w:rsid w:val="56C07106"/>
    <w:rsid w:val="56CD4190"/>
    <w:rsid w:val="57E20CBD"/>
    <w:rsid w:val="59642F62"/>
    <w:rsid w:val="5A3E3CD2"/>
    <w:rsid w:val="5AC73CC7"/>
    <w:rsid w:val="5B21162A"/>
    <w:rsid w:val="5B4672E2"/>
    <w:rsid w:val="5B6559BA"/>
    <w:rsid w:val="5D0B03DE"/>
    <w:rsid w:val="5D7E7207"/>
    <w:rsid w:val="5DEF1B44"/>
    <w:rsid w:val="5DFE20F6"/>
    <w:rsid w:val="5E007C1C"/>
    <w:rsid w:val="5E3A02CE"/>
    <w:rsid w:val="5F50072F"/>
    <w:rsid w:val="60055270"/>
    <w:rsid w:val="60082DB8"/>
    <w:rsid w:val="60575AEE"/>
    <w:rsid w:val="6085265B"/>
    <w:rsid w:val="61EB2991"/>
    <w:rsid w:val="623D1D69"/>
    <w:rsid w:val="627C183B"/>
    <w:rsid w:val="633B16F7"/>
    <w:rsid w:val="63957059"/>
    <w:rsid w:val="641E79BB"/>
    <w:rsid w:val="64696484"/>
    <w:rsid w:val="653B2BC7"/>
    <w:rsid w:val="65E46075"/>
    <w:rsid w:val="65EA3263"/>
    <w:rsid w:val="66173D55"/>
    <w:rsid w:val="664F7993"/>
    <w:rsid w:val="66756CCD"/>
    <w:rsid w:val="672A5D0A"/>
    <w:rsid w:val="67D13501"/>
    <w:rsid w:val="68646FFA"/>
    <w:rsid w:val="68C316A3"/>
    <w:rsid w:val="69690D6B"/>
    <w:rsid w:val="6A705FAC"/>
    <w:rsid w:val="6B6749C3"/>
    <w:rsid w:val="6B92775B"/>
    <w:rsid w:val="6BDB2A25"/>
    <w:rsid w:val="6EF03395"/>
    <w:rsid w:val="6FBB49D3"/>
    <w:rsid w:val="709959BC"/>
    <w:rsid w:val="714B6FA9"/>
    <w:rsid w:val="71791D68"/>
    <w:rsid w:val="71CD3E62"/>
    <w:rsid w:val="71D76A8E"/>
    <w:rsid w:val="72893053"/>
    <w:rsid w:val="72DD00D4"/>
    <w:rsid w:val="73C4187C"/>
    <w:rsid w:val="74F14AB1"/>
    <w:rsid w:val="75726026"/>
    <w:rsid w:val="75B570E6"/>
    <w:rsid w:val="761F284D"/>
    <w:rsid w:val="765B0942"/>
    <w:rsid w:val="76E9529A"/>
    <w:rsid w:val="77752FD1"/>
    <w:rsid w:val="77C1397B"/>
    <w:rsid w:val="77DD07CA"/>
    <w:rsid w:val="77F9614E"/>
    <w:rsid w:val="78072515"/>
    <w:rsid w:val="78931961"/>
    <w:rsid w:val="78957A98"/>
    <w:rsid w:val="78EB96DF"/>
    <w:rsid w:val="78FE69DA"/>
    <w:rsid w:val="79D7762B"/>
    <w:rsid w:val="7A38061F"/>
    <w:rsid w:val="7AD17583"/>
    <w:rsid w:val="7B2014A6"/>
    <w:rsid w:val="7B9B0B2D"/>
    <w:rsid w:val="7DAE124D"/>
    <w:rsid w:val="7DEC3ECF"/>
    <w:rsid w:val="7EF07617"/>
    <w:rsid w:val="7EF95DA4"/>
    <w:rsid w:val="7F5659A9"/>
    <w:rsid w:val="7F6D7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4">
    <w:name w:val="heading 2"/>
    <w:basedOn w:val="1"/>
    <w:next w:val="1"/>
    <w:unhideWhenUsed/>
    <w:qFormat/>
    <w:uiPriority w:val="0"/>
    <w:pPr>
      <w:keepNext/>
      <w:keepLines/>
      <w:spacing w:line="360" w:lineRule="auto"/>
      <w:outlineLvl w:val="1"/>
    </w:pPr>
    <w:rPr>
      <w:rFonts w:ascii="楷体" w:hAnsi="楷体" w:eastAsia="楷体"/>
      <w:b/>
      <w:sz w:val="28"/>
    </w:rPr>
  </w:style>
  <w:style w:type="paragraph" w:styleId="5">
    <w:name w:val="heading 4"/>
    <w:basedOn w:val="1"/>
    <w:next w:val="1"/>
    <w:qFormat/>
    <w:uiPriority w:val="0"/>
    <w:pPr>
      <w:tabs>
        <w:tab w:val="left" w:pos="2155"/>
      </w:tabs>
      <w:spacing w:before="120" w:line="360" w:lineRule="auto"/>
      <w:ind w:left="2155" w:hanging="1078"/>
      <w:outlineLvl w:val="3"/>
    </w:pPr>
    <w:rPr>
      <w:rFonts w:eastAsia="黑体"/>
      <w:sz w:val="28"/>
      <w:szCs w:val="20"/>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1"/>
    <w:next w:val="3"/>
    <w:qFormat/>
    <w:uiPriority w:val="99"/>
    <w:pPr>
      <w:ind w:firstLine="420" w:firstLineChars="100"/>
    </w:pPr>
    <w:rPr>
      <w:rFonts w:ascii="Times New Roman" w:hAnsi="Times New Roman" w:eastAsia="宋体" w:cs="Times New Roman"/>
    </w:rPr>
  </w:style>
  <w:style w:type="paragraph" w:styleId="3">
    <w:name w:val="Body Text First Indent 2"/>
    <w:basedOn w:val="1"/>
    <w:next w:val="1"/>
    <w:qFormat/>
    <w:uiPriority w:val="0"/>
    <w:pPr>
      <w:widowControl w:val="0"/>
      <w:spacing w:after="0"/>
      <w:ind w:left="0" w:leftChars="0" w:firstLine="420" w:firstLineChars="200"/>
      <w:jc w:val="both"/>
    </w:pPr>
    <w:rPr>
      <w:rFonts w:ascii="Calibri" w:hAnsi="Calibri"/>
      <w:b/>
      <w:position w:val="-10"/>
      <w:sz w:val="32"/>
      <w:szCs w:val="22"/>
    </w:rPr>
  </w:style>
  <w:style w:type="paragraph" w:styleId="6">
    <w:name w:val="annotation text"/>
    <w:basedOn w:val="1"/>
    <w:link w:val="21"/>
    <w:qFormat/>
    <w:uiPriority w:val="0"/>
  </w:style>
  <w:style w:type="paragraph" w:styleId="7">
    <w:name w:val="Body Text"/>
    <w:basedOn w:val="1"/>
    <w:next w:val="1"/>
    <w:semiHidden/>
    <w:qFormat/>
    <w:uiPriority w:val="0"/>
  </w:style>
  <w:style w:type="paragraph" w:styleId="8">
    <w:name w:val="Body Text Indent"/>
    <w:basedOn w:val="1"/>
    <w:next w:val="9"/>
    <w:qFormat/>
    <w:uiPriority w:val="0"/>
    <w:pPr>
      <w:ind w:firstLine="645"/>
    </w:pPr>
    <w:rPr>
      <w:rFonts w:ascii="Arial" w:hAnsi="Arial" w:eastAsia="仿宋_GB2312"/>
      <w:sz w:val="28"/>
    </w:rPr>
  </w:style>
  <w:style w:type="paragraph" w:styleId="9">
    <w:name w:val="envelope return"/>
    <w:basedOn w:val="1"/>
    <w:unhideWhenUsed/>
    <w:qFormat/>
    <w:uiPriority w:val="0"/>
    <w:pPr>
      <w:snapToGrid w:val="0"/>
    </w:pPr>
    <w:rPr>
      <w:rFonts w:ascii="Arial" w:hAnsi="Arial"/>
    </w:rPr>
  </w:style>
  <w:style w:type="paragraph" w:styleId="10">
    <w:name w:val="Plain Text"/>
    <w:basedOn w:val="1"/>
    <w:next w:val="5"/>
    <w:qFormat/>
    <w:uiPriority w:val="0"/>
    <w:rPr>
      <w:rFonts w:ascii="宋体" w:hAnsi="Courier New"/>
      <w:szCs w:val="20"/>
    </w:rPr>
  </w:style>
  <w:style w:type="paragraph" w:styleId="11">
    <w:name w:val="footer"/>
    <w:basedOn w:val="1"/>
    <w:qFormat/>
    <w:uiPriority w:val="0"/>
    <w:pPr>
      <w:tabs>
        <w:tab w:val="center" w:pos="4153"/>
        <w:tab w:val="right" w:pos="8306"/>
      </w:tabs>
    </w:pPr>
    <w:rPr>
      <w:sz w:val="18"/>
      <w:szCs w:val="18"/>
    </w:rPr>
  </w:style>
  <w:style w:type="paragraph" w:styleId="12">
    <w:name w:val="header"/>
    <w:basedOn w:val="1"/>
    <w:link w:val="20"/>
    <w:qFormat/>
    <w:uiPriority w:val="0"/>
    <w:pPr>
      <w:tabs>
        <w:tab w:val="center" w:pos="4153"/>
        <w:tab w:val="right" w:pos="8306"/>
      </w:tabs>
      <w:jc w:val="center"/>
    </w:pPr>
    <w:rPr>
      <w:sz w:val="18"/>
      <w:szCs w:val="18"/>
    </w:rPr>
  </w:style>
  <w:style w:type="paragraph" w:styleId="13">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sz w:val="24"/>
    </w:rPr>
  </w:style>
  <w:style w:type="paragraph" w:styleId="14">
    <w:name w:val="annotation subject"/>
    <w:basedOn w:val="6"/>
    <w:next w:val="6"/>
    <w:link w:val="22"/>
    <w:qFormat/>
    <w:uiPriority w:val="0"/>
    <w:rPr>
      <w:b/>
      <w:bCs/>
    </w:rPr>
  </w:style>
  <w:style w:type="character" w:styleId="17">
    <w:name w:val="annotation reference"/>
    <w:basedOn w:val="16"/>
    <w:qFormat/>
    <w:uiPriority w:val="0"/>
    <w:rPr>
      <w:sz w:val="21"/>
      <w:szCs w:val="21"/>
    </w:rPr>
  </w:style>
  <w:style w:type="table" w:customStyle="1" w:styleId="18">
    <w:name w:val="Table Normal"/>
    <w:semiHidden/>
    <w:unhideWhenUsed/>
    <w:qFormat/>
    <w:uiPriority w:val="0"/>
    <w:tblPr>
      <w:tblCellMar>
        <w:top w:w="0" w:type="dxa"/>
        <w:left w:w="0" w:type="dxa"/>
        <w:bottom w:w="0" w:type="dxa"/>
        <w:right w:w="0" w:type="dxa"/>
      </w:tblCellMar>
    </w:tblPr>
  </w:style>
  <w:style w:type="paragraph" w:customStyle="1" w:styleId="19">
    <w:name w:val="Table Text"/>
    <w:basedOn w:val="1"/>
    <w:semiHidden/>
    <w:qFormat/>
    <w:uiPriority w:val="0"/>
    <w:rPr>
      <w:rFonts w:ascii="仿宋" w:hAnsi="仿宋" w:eastAsia="仿宋" w:cs="仿宋"/>
      <w:sz w:val="24"/>
      <w:szCs w:val="24"/>
    </w:rPr>
  </w:style>
  <w:style w:type="character" w:customStyle="1" w:styleId="20">
    <w:name w:val="页眉 字符"/>
    <w:basedOn w:val="16"/>
    <w:link w:val="12"/>
    <w:qFormat/>
    <w:uiPriority w:val="0"/>
    <w:rPr>
      <w:rFonts w:eastAsia="Arial"/>
      <w:snapToGrid w:val="0"/>
      <w:color w:val="000000"/>
      <w:sz w:val="18"/>
      <w:szCs w:val="18"/>
      <w:lang w:eastAsia="en-US"/>
    </w:rPr>
  </w:style>
  <w:style w:type="character" w:customStyle="1" w:styleId="21">
    <w:name w:val="批注文字 字符"/>
    <w:basedOn w:val="16"/>
    <w:link w:val="6"/>
    <w:qFormat/>
    <w:uiPriority w:val="0"/>
    <w:rPr>
      <w:rFonts w:eastAsia="Arial"/>
      <w:snapToGrid w:val="0"/>
      <w:color w:val="000000"/>
      <w:sz w:val="21"/>
      <w:szCs w:val="21"/>
      <w:lang w:eastAsia="en-US"/>
    </w:rPr>
  </w:style>
  <w:style w:type="character" w:customStyle="1" w:styleId="22">
    <w:name w:val="批注主题 字符"/>
    <w:basedOn w:val="21"/>
    <w:link w:val="14"/>
    <w:qFormat/>
    <w:uiPriority w:val="0"/>
    <w:rPr>
      <w:rFonts w:eastAsia="Arial"/>
      <w:b/>
      <w:bCs/>
      <w:snapToGrid w:val="0"/>
      <w:color w:val="000000"/>
      <w:sz w:val="21"/>
      <w:szCs w:val="21"/>
      <w:lang w:eastAsia="en-US"/>
    </w:rPr>
  </w:style>
  <w:style w:type="paragraph" w:customStyle="1" w:styleId="23">
    <w:name w:val="aaaaaa新创建正文"/>
    <w:basedOn w:val="1"/>
    <w:qFormat/>
    <w:uiPriority w:val="0"/>
    <w:pPr>
      <w:spacing w:line="360" w:lineRule="auto"/>
      <w:ind w:firstLine="200" w:firstLineChars="200"/>
    </w:pPr>
    <w:rPr>
      <w:rFonts w:ascii="Times New Roman" w:hAnsi="Times New Roman" w:eastAsia="宋体" w:cs="Times New Roman"/>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2922</Words>
  <Characters>3121</Characters>
  <Lines>88</Lines>
  <Paragraphs>25</Paragraphs>
  <TotalTime>42</TotalTime>
  <ScaleCrop>false</ScaleCrop>
  <LinksUpToDate>false</LinksUpToDate>
  <CharactersWithSpaces>3147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2024-01-03T15:49:00Z</dcterms:created>
  <dc:creator>XYHB</dc:creator>
  <cp:lastModifiedBy>祝海峰</cp:lastModifiedBy>
  <cp:lastPrinted>2025-05-07T07:39:46Z</cp:lastPrinted>
  <dcterms:modified xsi:type="dcterms:W3CDTF">2025-05-07T08:00:56Z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2023-12-15T17:15:47Z</vt:filetime>
  </property>
  <property fmtid="{D5CDD505-2E9C-101B-9397-08002B2CF9AE}" pid="4" name="KSOProductBuildVer">
    <vt:lpwstr>2052-12.1.0.19302</vt:lpwstr>
  </property>
  <property fmtid="{D5CDD505-2E9C-101B-9397-08002B2CF9AE}" pid="5" name="ICV">
    <vt:lpwstr>A614C0C129CA475DAC66E800905CD6DB_13</vt:lpwstr>
  </property>
  <property fmtid="{D5CDD505-2E9C-101B-9397-08002B2CF9AE}" pid="6" name="KSOTemplateDocerSaveRecord">
    <vt:lpwstr>eyJoZGlkIjoiYjgyNDQzZDQzZmE2YmQ0NjYwNzMyMGMxYmIzYzVjMDgiLCJ1c2VySWQiOiIyNDA2ODQ3MzYifQ==</vt:lpwstr>
  </property>
</Properties>
</file>